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DCB7A">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snapToGrid/>
          <w:kern w:val="2"/>
          <w:sz w:val="44"/>
          <w:szCs w:val="44"/>
          <w:highlight w:val="none"/>
          <w:shd w:val="clear" w:color="auto" w:fill="FFFFFF"/>
        </w:rPr>
      </w:pPr>
      <w:r>
        <w:rPr>
          <w:rFonts w:hint="eastAsia" w:ascii="方正小标宋简体" w:hAnsi="方正小标宋简体" w:eastAsia="方正小标宋简体" w:cs="方正小标宋简体"/>
          <w:snapToGrid/>
          <w:kern w:val="2"/>
          <w:sz w:val="44"/>
          <w:szCs w:val="44"/>
          <w:highlight w:val="none"/>
          <w:shd w:val="clear" w:color="auto" w:fill="FFFFFF"/>
        </w:rPr>
        <w:t>北京经济技术开发区</w:t>
      </w:r>
    </w:p>
    <w:p w14:paraId="3EED6AA7">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snapToGrid/>
          <w:kern w:val="2"/>
          <w:sz w:val="44"/>
          <w:szCs w:val="44"/>
          <w:highlight w:val="none"/>
          <w:shd w:val="clear" w:color="auto" w:fill="FFFFFF"/>
        </w:rPr>
      </w:pPr>
      <w:r>
        <w:rPr>
          <w:rFonts w:hint="eastAsia" w:ascii="方正小标宋简体" w:hAnsi="方正小标宋简体" w:eastAsia="方正小标宋简体" w:cs="方正小标宋简体"/>
          <w:snapToGrid/>
          <w:kern w:val="2"/>
          <w:sz w:val="44"/>
          <w:szCs w:val="44"/>
          <w:highlight w:val="none"/>
          <w:shd w:val="clear" w:color="auto" w:fill="FFFFFF"/>
        </w:rPr>
        <w:t>突发环境事件应急预案</w:t>
      </w:r>
    </w:p>
    <w:p w14:paraId="2ABF504E">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Times New Roman" w:hAnsi="Times New Roman" w:eastAsia="楷体_GB2312" w:cs="Times New Roman"/>
          <w:snapToGrid/>
          <w:color w:val="auto"/>
          <w:kern w:val="2"/>
          <w:sz w:val="32"/>
          <w:szCs w:val="32"/>
          <w:highlight w:val="none"/>
        </w:rPr>
      </w:pPr>
      <w:r>
        <w:rPr>
          <w:rFonts w:hint="eastAsia" w:ascii="Times New Roman" w:hAnsi="Times New Roman" w:eastAsia="楷体_GB2312" w:cs="Times New Roman"/>
          <w:snapToGrid/>
          <w:color w:val="auto"/>
          <w:kern w:val="2"/>
          <w:sz w:val="32"/>
          <w:szCs w:val="32"/>
          <w:highlight w:val="none"/>
        </w:rPr>
        <w:t>（202</w:t>
      </w:r>
      <w:r>
        <w:rPr>
          <w:rFonts w:hint="eastAsia" w:eastAsia="楷体_GB2312" w:cs="Times New Roman"/>
          <w:snapToGrid/>
          <w:color w:val="auto"/>
          <w:kern w:val="2"/>
          <w:sz w:val="32"/>
          <w:szCs w:val="32"/>
          <w:highlight w:val="none"/>
          <w:lang w:val="en-US" w:eastAsia="zh-CN"/>
        </w:rPr>
        <w:t>4</w:t>
      </w:r>
      <w:r>
        <w:rPr>
          <w:rFonts w:hint="eastAsia" w:ascii="Times New Roman" w:hAnsi="Times New Roman" w:eastAsia="楷体_GB2312" w:cs="Times New Roman"/>
          <w:snapToGrid/>
          <w:color w:val="auto"/>
          <w:kern w:val="2"/>
          <w:sz w:val="32"/>
          <w:szCs w:val="32"/>
          <w:highlight w:val="none"/>
        </w:rPr>
        <w:t>年修订）</w:t>
      </w:r>
    </w:p>
    <w:p w14:paraId="71709E57">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default" w:ascii="Times New Roman" w:hAnsi="Times New Roman" w:eastAsia="楷体_GB2312" w:cs="Times New Roman"/>
          <w:snapToGrid/>
          <w:color w:val="auto"/>
          <w:kern w:val="2"/>
          <w:sz w:val="32"/>
          <w:szCs w:val="32"/>
          <w:highlight w:val="none"/>
          <w:lang w:val="en-US" w:eastAsia="zh-CN"/>
        </w:rPr>
      </w:pPr>
      <w:r>
        <w:rPr>
          <w:rFonts w:hint="eastAsia" w:ascii="Times New Roman" w:hAnsi="Times New Roman" w:eastAsia="楷体_GB2312" w:cs="Times New Roman"/>
          <w:snapToGrid/>
          <w:color w:val="auto"/>
          <w:kern w:val="2"/>
          <w:sz w:val="32"/>
          <w:szCs w:val="32"/>
          <w:highlight w:val="none"/>
        </w:rPr>
        <w:t>（</w:t>
      </w:r>
      <w:r>
        <w:rPr>
          <w:rFonts w:hint="eastAsia" w:eastAsia="楷体_GB2312" w:cs="Times New Roman"/>
          <w:snapToGrid/>
          <w:color w:val="auto"/>
          <w:kern w:val="2"/>
          <w:sz w:val="32"/>
          <w:szCs w:val="32"/>
          <w:highlight w:val="none"/>
          <w:lang w:val="en-US" w:eastAsia="zh-CN"/>
        </w:rPr>
        <w:t>征求意见稿）</w:t>
      </w:r>
    </w:p>
    <w:sdt>
      <w:sdtPr>
        <w:rPr>
          <w:rFonts w:hint="eastAsia" w:ascii="仿宋" w:hAnsi="仿宋" w:eastAsia="仿宋" w:cs="仿宋"/>
          <w:b/>
          <w:bCs/>
          <w:color w:val="auto"/>
          <w:sz w:val="32"/>
          <w:szCs w:val="32"/>
          <w:highlight w:val="none"/>
        </w:rPr>
        <w:id w:val="147478671"/>
      </w:sdtPr>
      <w:sdtEndPr>
        <w:rPr>
          <w:rFonts w:hint="eastAsia" w:ascii="仿宋" w:hAnsi="仿宋" w:eastAsia="仿宋" w:cs="仿宋"/>
          <w:b/>
          <w:bCs/>
          <w:color w:val="auto"/>
          <w:sz w:val="28"/>
          <w:szCs w:val="21"/>
          <w:highlight w:val="none"/>
        </w:rPr>
      </w:sdtEndPr>
      <w:sdtContent>
        <w:p w14:paraId="6ECDEDA6">
          <w:pPr>
            <w:pageBreakBefore w:val="0"/>
            <w:kinsoku/>
            <w:wordWrap/>
            <w:overflowPunct w:val="0"/>
            <w:topLinePunct/>
            <w:bidi w:val="0"/>
            <w:spacing w:line="560" w:lineRule="exact"/>
            <w:ind w:firstLine="0" w:firstLineChars="0"/>
            <w:jc w:val="center"/>
            <w:rPr>
              <w:rFonts w:ascii="仿宋" w:hAnsi="仿宋" w:eastAsia="仿宋" w:cs="仿宋"/>
              <w:b/>
              <w:bCs/>
              <w:color w:val="auto"/>
              <w:sz w:val="32"/>
              <w:szCs w:val="32"/>
              <w:highlight w:val="none"/>
            </w:rPr>
          </w:pPr>
          <w:r>
            <w:rPr>
              <w:rFonts w:hint="eastAsia" w:ascii="黑体" w:hAnsi="黑体" w:eastAsia="黑体" w:cs="黑体"/>
              <w:snapToGrid/>
              <w:kern w:val="2"/>
              <w:sz w:val="32"/>
              <w:szCs w:val="32"/>
              <w:highlight w:val="none"/>
            </w:rPr>
            <w:t>目  录</w:t>
          </w:r>
        </w:p>
        <w:p w14:paraId="23BE7A7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TOC \o "1-3" \n  \h \u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_Toc30555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 总则</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797928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_Toc1232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1.1 编制目的与依据</w:t>
          </w:r>
          <w:r>
            <w:rPr>
              <w:rFonts w:hint="eastAsia" w:ascii="楷体_GB2312" w:hAnsi="楷体_GB2312" w:eastAsia="楷体_GB2312" w:cs="楷体_GB2312"/>
              <w:snapToGrid/>
              <w:color w:val="0C0C0C"/>
              <w:kern w:val="2"/>
              <w:sz w:val="32"/>
              <w:szCs w:val="32"/>
              <w:highlight w:val="none"/>
              <w:lang w:val="en-US" w:eastAsia="zh-CN"/>
            </w:rPr>
            <w:fldChar w:fldCharType="end"/>
          </w:r>
        </w:p>
        <w:p w14:paraId="03A5119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_Toc9700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1.2 适用范围</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824098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_Toc14530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1.3 风险分析</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AB101D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_Toc26248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1.4 工作原则</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66B00B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_Toc4100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1.5 事件分级</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13EA19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_Toc2390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1.6 应急预案体系</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676A78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_Toc20860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 组织机构及职责</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CF4610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_Toc23654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2.1 区环境应急协调小组</w:t>
          </w:r>
          <w:r>
            <w:rPr>
              <w:rFonts w:hint="eastAsia" w:ascii="楷体_GB2312" w:hAnsi="楷体_GB2312" w:eastAsia="楷体_GB2312" w:cs="楷体_GB2312"/>
              <w:snapToGrid/>
              <w:color w:val="0C0C0C"/>
              <w:kern w:val="2"/>
              <w:sz w:val="32"/>
              <w:szCs w:val="32"/>
              <w:highlight w:val="none"/>
              <w:lang w:val="en-US" w:eastAsia="zh-CN"/>
            </w:rPr>
            <w:fldChar w:fldCharType="end"/>
          </w:r>
        </w:p>
        <w:p w14:paraId="568DD18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_Toc21125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2.2 区环境应急协调小组办公室</w:t>
          </w:r>
          <w:r>
            <w:rPr>
              <w:rFonts w:hint="eastAsia" w:ascii="楷体_GB2312" w:hAnsi="楷体_GB2312" w:eastAsia="楷体_GB2312" w:cs="楷体_GB2312"/>
              <w:snapToGrid/>
              <w:color w:val="0C0C0C"/>
              <w:kern w:val="2"/>
              <w:sz w:val="32"/>
              <w:szCs w:val="32"/>
              <w:highlight w:val="none"/>
              <w:lang w:val="en-US" w:eastAsia="zh-CN"/>
            </w:rPr>
            <w:fldChar w:fldCharType="end"/>
          </w:r>
        </w:p>
        <w:p w14:paraId="509F201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_Toc10431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2.3 区环境应急协调小组成员单位</w:t>
          </w:r>
          <w:r>
            <w:rPr>
              <w:rFonts w:hint="eastAsia" w:ascii="楷体_GB2312" w:hAnsi="楷体_GB2312" w:eastAsia="楷体_GB2312" w:cs="楷体_GB2312"/>
              <w:snapToGrid/>
              <w:color w:val="0C0C0C"/>
              <w:kern w:val="2"/>
              <w:sz w:val="32"/>
              <w:szCs w:val="32"/>
              <w:highlight w:val="none"/>
              <w:lang w:val="en-US" w:eastAsia="zh-CN"/>
            </w:rPr>
            <w:fldChar w:fldCharType="end"/>
          </w:r>
        </w:p>
        <w:p w14:paraId="542359B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_Toc17595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2.4 经开区突发环境事件临时应急指挥部</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FBAE9E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_Toc31609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2.5 街道（镇）工作机构</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3C82BE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_Toc17177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3 监测与预警</w:t>
          </w:r>
          <w:r>
            <w:rPr>
              <w:rFonts w:hint="eastAsia" w:ascii="楷体_GB2312" w:hAnsi="楷体_GB2312" w:eastAsia="楷体_GB2312" w:cs="楷体_GB2312"/>
              <w:snapToGrid/>
              <w:color w:val="0C0C0C"/>
              <w:kern w:val="2"/>
              <w:sz w:val="32"/>
              <w:szCs w:val="32"/>
              <w:highlight w:val="none"/>
              <w:lang w:val="en-US" w:eastAsia="zh-CN"/>
            </w:rPr>
            <w:fldChar w:fldCharType="end"/>
          </w:r>
        </w:p>
        <w:p w14:paraId="091A980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_Toc17629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3.1 监测与风险防控</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45E708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_Toc8470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3.2 预警</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BF67D6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_Toc19278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 应急响应与处置</w:t>
          </w:r>
          <w:r>
            <w:rPr>
              <w:rFonts w:hint="eastAsia" w:ascii="楷体_GB2312" w:hAnsi="楷体_GB2312" w:eastAsia="楷体_GB2312" w:cs="楷体_GB2312"/>
              <w:snapToGrid/>
              <w:color w:val="0C0C0C"/>
              <w:kern w:val="2"/>
              <w:sz w:val="32"/>
              <w:szCs w:val="32"/>
              <w:highlight w:val="none"/>
              <w:lang w:val="en-US" w:eastAsia="zh-CN"/>
            </w:rPr>
            <w:fldChar w:fldCharType="end"/>
          </w:r>
        </w:p>
        <w:p w14:paraId="1E13CCC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_Toc30450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4.1 先期处置</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47C3E3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_Toc3996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4.2 信息报送与通报</w:t>
          </w:r>
          <w:r>
            <w:rPr>
              <w:rFonts w:hint="eastAsia" w:ascii="楷体_GB2312" w:hAnsi="楷体_GB2312" w:eastAsia="楷体_GB2312" w:cs="楷体_GB2312"/>
              <w:snapToGrid/>
              <w:color w:val="0C0C0C"/>
              <w:kern w:val="2"/>
              <w:sz w:val="32"/>
              <w:szCs w:val="32"/>
              <w:highlight w:val="none"/>
              <w:lang w:val="en-US" w:eastAsia="zh-CN"/>
            </w:rPr>
            <w:fldChar w:fldCharType="end"/>
          </w:r>
        </w:p>
        <w:p w14:paraId="0413CE9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_Toc23822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4.3 响应分级</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AF358E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_Toc12244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4.4 现场指挥部</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A81432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_Toc16865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 xml:space="preserve">4.5 </w:t>
          </w:r>
          <w:r>
            <w:rPr>
              <w:rFonts w:hint="eastAsia" w:ascii="楷体_GB2312" w:hAnsi="楷体_GB2312" w:eastAsia="楷体_GB2312" w:cs="楷体_GB2312"/>
              <w:snapToGrid/>
              <w:color w:val="0C0C0C"/>
              <w:kern w:val="2"/>
              <w:sz w:val="32"/>
              <w:szCs w:val="32"/>
              <w:highlight w:val="none"/>
              <w:lang w:val="en-US" w:eastAsia="zh-Hans"/>
            </w:rPr>
            <w:t>处置程序与</w:t>
          </w:r>
          <w:r>
            <w:rPr>
              <w:rFonts w:hint="eastAsia" w:ascii="楷体_GB2312" w:hAnsi="楷体_GB2312" w:eastAsia="楷体_GB2312" w:cs="楷体_GB2312"/>
              <w:snapToGrid/>
              <w:color w:val="0C0C0C"/>
              <w:kern w:val="2"/>
              <w:sz w:val="32"/>
              <w:szCs w:val="32"/>
              <w:highlight w:val="none"/>
              <w:lang w:val="en-US" w:eastAsia="zh-CN"/>
            </w:rPr>
            <w:t>措施</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25ADC9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_Toc31117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4.6 信息发布和舆论引导</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B0839B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_Toc8763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4.7 应急结束</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3C938C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_Toc11659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 后期工作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04973A3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_Toc24129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5.1 善后处置</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0F9CBD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_Toc27678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5.2 损害评估</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DF03B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_Toc23223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5.3 事件调查</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FC6313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_Toc7630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5.4 总结评估</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DBFABE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_Toc24977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5.5 奖励处罚</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387229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_Toc546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 应急保障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5D19E26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_Toc25621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6.1 队伍保障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6DF481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_Toc7605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6.2 技术保障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BDCE10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_Toc4892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6.3 通信、交通与运输保障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0671AF0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_Toc18948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6.4 装备物资保障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1D4586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_Toc9768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6.5 资金保障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41EC07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_Toc31892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6.6 机制保障</w:t>
          </w:r>
          <w:r>
            <w:rPr>
              <w:rFonts w:hint="eastAsia" w:ascii="楷体_GB2312" w:hAnsi="楷体_GB2312" w:eastAsia="楷体_GB2312" w:cs="楷体_GB2312"/>
              <w:snapToGrid/>
              <w:color w:val="0C0C0C"/>
              <w:kern w:val="2"/>
              <w:sz w:val="32"/>
              <w:szCs w:val="32"/>
              <w:highlight w:val="none"/>
              <w:lang w:val="en-US" w:eastAsia="zh-CN"/>
            </w:rPr>
            <w:fldChar w:fldCharType="end"/>
          </w:r>
        </w:p>
        <w:p w14:paraId="6E4540C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_Toc12402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6.7 应急值守</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5A8E03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_Toc18533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7 预案管理</w:t>
          </w:r>
          <w:r>
            <w:rPr>
              <w:rFonts w:hint="eastAsia" w:ascii="楷体_GB2312" w:hAnsi="楷体_GB2312" w:eastAsia="楷体_GB2312" w:cs="楷体_GB2312"/>
              <w:snapToGrid/>
              <w:color w:val="0C0C0C"/>
              <w:kern w:val="2"/>
              <w:sz w:val="32"/>
              <w:szCs w:val="32"/>
              <w:highlight w:val="none"/>
              <w:lang w:val="en-US" w:eastAsia="zh-CN"/>
            </w:rPr>
            <w:fldChar w:fldCharType="end"/>
          </w:r>
        </w:p>
        <w:p w14:paraId="3AD1E87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_Toc6937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7.1 制订与备案</w:t>
          </w:r>
          <w:r>
            <w:rPr>
              <w:rFonts w:hint="eastAsia" w:ascii="楷体_GB2312" w:hAnsi="楷体_GB2312" w:eastAsia="楷体_GB2312" w:cs="楷体_GB2312"/>
              <w:snapToGrid/>
              <w:color w:val="0C0C0C"/>
              <w:kern w:val="2"/>
              <w:sz w:val="32"/>
              <w:szCs w:val="32"/>
              <w:highlight w:val="none"/>
              <w:lang w:val="en-US" w:eastAsia="zh-CN"/>
            </w:rPr>
            <w:fldChar w:fldCharType="end"/>
          </w:r>
        </w:p>
        <w:p w14:paraId="15FECF7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_Toc29637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7.2 应急演练</w:t>
          </w:r>
          <w:r>
            <w:rPr>
              <w:rFonts w:hint="eastAsia" w:ascii="楷体_GB2312" w:hAnsi="楷体_GB2312" w:eastAsia="楷体_GB2312" w:cs="楷体_GB2312"/>
              <w:snapToGrid/>
              <w:color w:val="0C0C0C"/>
              <w:kern w:val="2"/>
              <w:sz w:val="32"/>
              <w:szCs w:val="32"/>
              <w:highlight w:val="none"/>
              <w:lang w:val="en-US" w:eastAsia="zh-CN"/>
            </w:rPr>
            <w:fldChar w:fldCharType="end"/>
          </w:r>
        </w:p>
        <w:p w14:paraId="17D7AF6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_Toc22040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7.3 宣传与培训</w:t>
          </w:r>
          <w:r>
            <w:rPr>
              <w:rFonts w:hint="eastAsia" w:ascii="楷体_GB2312" w:hAnsi="楷体_GB2312" w:eastAsia="楷体_GB2312" w:cs="楷体_GB2312"/>
              <w:snapToGrid/>
              <w:color w:val="0C0C0C"/>
              <w:kern w:val="2"/>
              <w:sz w:val="32"/>
              <w:szCs w:val="32"/>
              <w:highlight w:val="none"/>
              <w:lang w:val="en-US" w:eastAsia="zh-CN"/>
            </w:rPr>
            <w:fldChar w:fldCharType="end"/>
          </w:r>
        </w:p>
        <w:p w14:paraId="4A074FF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_Toc3590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8 附则与附件</w:t>
          </w:r>
          <w:r>
            <w:rPr>
              <w:rFonts w:hint="eastAsia" w:ascii="楷体_GB2312" w:hAnsi="楷体_GB2312" w:eastAsia="楷体_GB2312" w:cs="楷体_GB2312"/>
              <w:snapToGrid/>
              <w:color w:val="0C0C0C"/>
              <w:kern w:val="2"/>
              <w:sz w:val="32"/>
              <w:szCs w:val="32"/>
              <w:highlight w:val="none"/>
              <w:lang w:val="en-US" w:eastAsia="zh-CN"/>
            </w:rPr>
            <w:fldChar w:fldCharType="end"/>
          </w:r>
        </w:p>
        <w:p w14:paraId="2019434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_Toc7606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8.1 名词术语</w:t>
          </w:r>
          <w:r>
            <w:rPr>
              <w:rFonts w:hint="eastAsia" w:ascii="楷体_GB2312" w:hAnsi="楷体_GB2312" w:eastAsia="楷体_GB2312" w:cs="楷体_GB2312"/>
              <w:snapToGrid/>
              <w:color w:val="0C0C0C"/>
              <w:kern w:val="2"/>
              <w:sz w:val="32"/>
              <w:szCs w:val="32"/>
              <w:highlight w:val="none"/>
              <w:lang w:val="en-US" w:eastAsia="zh-CN"/>
            </w:rPr>
            <w:fldChar w:fldCharType="end"/>
          </w:r>
        </w:p>
        <w:p w14:paraId="271379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_Toc2984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8.2 预案说明</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D2398A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p>
        <w:p w14:paraId="5E374D3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_Toc24703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附件: 1</w:t>
          </w:r>
          <w:r>
            <w:rPr>
              <w:rFonts w:hint="eastAsia" w:ascii="楷体_GB2312" w:hAnsi="楷体_GB2312" w:eastAsia="楷体_GB2312" w:cs="楷体_GB2312"/>
              <w:snapToGrid/>
              <w:color w:val="0C0C0C"/>
              <w:kern w:val="2"/>
              <w:sz w:val="32"/>
              <w:szCs w:val="32"/>
              <w:highlight w:val="none"/>
              <w:lang w:val="en-US" w:eastAsia="zh-CN"/>
            </w:rPr>
            <w:fldChar w:fldCharType="end"/>
          </w:r>
          <w:r>
            <w:rPr>
              <w:rFonts w:hint="eastAsia" w:ascii="楷体_GB2312" w:hAnsi="楷体_GB2312" w:eastAsia="楷体_GB2312" w:cs="楷体_GB2312"/>
              <w:snapToGrid/>
              <w:color w:val="0C0C0C"/>
              <w:kern w:val="2"/>
              <w:sz w:val="32"/>
              <w:szCs w:val="32"/>
              <w:highlight w:val="none"/>
              <w:lang w:val="en-US" w:eastAsia="zh-CN"/>
            </w:rPr>
            <w:t>.</w:t>
          </w: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_Toc25833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北京市突发环境事件分级标准</w:t>
          </w:r>
          <w:r>
            <w:rPr>
              <w:rFonts w:hint="eastAsia" w:ascii="楷体_GB2312" w:hAnsi="楷体_GB2312" w:eastAsia="楷体_GB2312" w:cs="楷体_GB2312"/>
              <w:snapToGrid/>
              <w:color w:val="0C0C0C"/>
              <w:kern w:val="2"/>
              <w:sz w:val="32"/>
              <w:szCs w:val="32"/>
              <w:highlight w:val="none"/>
              <w:lang w:val="en-US" w:eastAsia="zh-CN"/>
            </w:rPr>
            <w:fldChar w:fldCharType="end"/>
          </w:r>
        </w:p>
        <w:p w14:paraId="7A32D1F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1600" w:firstLineChars="5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_Toc29197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2</w:t>
          </w:r>
          <w:r>
            <w:rPr>
              <w:rFonts w:hint="eastAsia" w:ascii="楷体_GB2312" w:hAnsi="楷体_GB2312" w:eastAsia="楷体_GB2312" w:cs="楷体_GB2312"/>
              <w:snapToGrid/>
              <w:color w:val="0C0C0C"/>
              <w:kern w:val="2"/>
              <w:sz w:val="32"/>
              <w:szCs w:val="32"/>
              <w:highlight w:val="none"/>
              <w:lang w:val="en-US" w:eastAsia="zh-CN"/>
            </w:rPr>
            <w:fldChar w:fldCharType="end"/>
          </w:r>
          <w:r>
            <w:rPr>
              <w:rFonts w:hint="eastAsia" w:ascii="楷体_GB2312" w:hAnsi="楷体_GB2312" w:eastAsia="楷体_GB2312" w:cs="楷体_GB2312"/>
              <w:snapToGrid/>
              <w:color w:val="0C0C0C"/>
              <w:kern w:val="2"/>
              <w:sz w:val="32"/>
              <w:szCs w:val="32"/>
              <w:highlight w:val="none"/>
              <w:lang w:val="en-US" w:eastAsia="zh-CN"/>
            </w:rPr>
            <w:t>.</w:t>
          </w:r>
          <w:r>
            <w:rPr>
              <w:rFonts w:hint="eastAsia" w:ascii="楷体_GB2312" w:hAnsi="楷体_GB2312" w:eastAsia="楷体_GB2312" w:cs="楷体_GB2312"/>
              <w:snapToGrid/>
              <w:color w:val="0C0C0C"/>
              <w:spacing w:val="-17"/>
              <w:kern w:val="2"/>
              <w:sz w:val="32"/>
              <w:szCs w:val="32"/>
              <w:highlight w:val="none"/>
              <w:lang w:val="en-US" w:eastAsia="zh-CN"/>
            </w:rPr>
            <w:fldChar w:fldCharType="begin"/>
          </w:r>
          <w:r>
            <w:rPr>
              <w:rFonts w:hint="eastAsia" w:ascii="楷体_GB2312" w:hAnsi="楷体_GB2312" w:eastAsia="楷体_GB2312" w:cs="楷体_GB2312"/>
              <w:snapToGrid/>
              <w:color w:val="0C0C0C"/>
              <w:spacing w:val="-17"/>
              <w:kern w:val="2"/>
              <w:sz w:val="32"/>
              <w:szCs w:val="32"/>
              <w:highlight w:val="none"/>
              <w:lang w:val="en-US" w:eastAsia="zh-CN"/>
            </w:rPr>
            <w:instrText xml:space="preserve"> HYPERLINK \l _Toc20967 </w:instrText>
          </w:r>
          <w:r>
            <w:rPr>
              <w:rFonts w:hint="eastAsia" w:ascii="楷体_GB2312" w:hAnsi="楷体_GB2312" w:eastAsia="楷体_GB2312" w:cs="楷体_GB2312"/>
              <w:snapToGrid/>
              <w:color w:val="0C0C0C"/>
              <w:spacing w:val="-17"/>
              <w:kern w:val="2"/>
              <w:sz w:val="32"/>
              <w:szCs w:val="32"/>
              <w:highlight w:val="none"/>
              <w:lang w:val="en-US" w:eastAsia="zh-CN"/>
            </w:rPr>
            <w:fldChar w:fldCharType="separate"/>
          </w:r>
          <w:r>
            <w:rPr>
              <w:rFonts w:hint="eastAsia" w:ascii="楷体_GB2312" w:hAnsi="楷体_GB2312" w:eastAsia="楷体_GB2312" w:cs="楷体_GB2312"/>
              <w:snapToGrid/>
              <w:color w:val="0C0C0C"/>
              <w:spacing w:val="-17"/>
              <w:kern w:val="2"/>
              <w:sz w:val="32"/>
              <w:szCs w:val="32"/>
              <w:highlight w:val="none"/>
              <w:lang w:val="en-US" w:eastAsia="zh-CN"/>
            </w:rPr>
            <w:t>北京经济技术开发区突发环境事件应急响应程序示意图</w:t>
          </w:r>
          <w:r>
            <w:rPr>
              <w:rFonts w:hint="eastAsia" w:ascii="楷体_GB2312" w:hAnsi="楷体_GB2312" w:eastAsia="楷体_GB2312" w:cs="楷体_GB2312"/>
              <w:snapToGrid/>
              <w:color w:val="0C0C0C"/>
              <w:spacing w:val="-17"/>
              <w:kern w:val="2"/>
              <w:sz w:val="32"/>
              <w:szCs w:val="32"/>
              <w:highlight w:val="none"/>
              <w:lang w:val="en-US" w:eastAsia="zh-CN"/>
            </w:rPr>
            <w:fldChar w:fldCharType="end"/>
          </w:r>
        </w:p>
        <w:p w14:paraId="62E0CB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1600" w:firstLineChars="500"/>
            <w:jc w:val="both"/>
            <w:textAlignment w:val="auto"/>
            <w:rPr>
              <w:rFonts w:hint="eastAsia" w:ascii="楷体_GB2312" w:hAnsi="楷体_GB2312" w:eastAsia="楷体_GB2312" w:cs="楷体_GB2312"/>
              <w:snapToGrid/>
              <w:color w:val="0C0C0C"/>
              <w:kern w:val="2"/>
              <w:sz w:val="32"/>
              <w:szCs w:val="32"/>
              <w:highlight w:val="none"/>
              <w:lang w:val="en-US" w:eastAsia="zh-CN"/>
            </w:rPr>
          </w:pP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_Toc22835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3</w:t>
          </w:r>
          <w:r>
            <w:rPr>
              <w:rFonts w:hint="eastAsia" w:ascii="楷体_GB2312" w:hAnsi="楷体_GB2312" w:eastAsia="楷体_GB2312" w:cs="楷体_GB2312"/>
              <w:snapToGrid/>
              <w:color w:val="0C0C0C"/>
              <w:kern w:val="2"/>
              <w:sz w:val="32"/>
              <w:szCs w:val="32"/>
              <w:highlight w:val="none"/>
              <w:lang w:val="en-US" w:eastAsia="zh-CN"/>
            </w:rPr>
            <w:fldChar w:fldCharType="end"/>
          </w:r>
          <w:r>
            <w:rPr>
              <w:rFonts w:hint="eastAsia" w:ascii="楷体_GB2312" w:hAnsi="楷体_GB2312" w:eastAsia="楷体_GB2312" w:cs="楷体_GB2312"/>
              <w:snapToGrid/>
              <w:color w:val="0C0C0C"/>
              <w:kern w:val="2"/>
              <w:sz w:val="32"/>
              <w:szCs w:val="32"/>
              <w:highlight w:val="none"/>
              <w:lang w:val="en-US" w:eastAsia="zh-CN"/>
            </w:rPr>
            <w:t>.</w:t>
          </w:r>
          <w:r>
            <w:rPr>
              <w:rFonts w:hint="eastAsia" w:ascii="楷体_GB2312" w:hAnsi="楷体_GB2312" w:eastAsia="楷体_GB2312" w:cs="楷体_GB2312"/>
              <w:snapToGrid/>
              <w:color w:val="0C0C0C"/>
              <w:kern w:val="2"/>
              <w:sz w:val="32"/>
              <w:szCs w:val="32"/>
              <w:highlight w:val="none"/>
              <w:lang w:val="en-US" w:eastAsia="zh-CN"/>
            </w:rPr>
            <w:fldChar w:fldCharType="begin"/>
          </w:r>
          <w:r>
            <w:rPr>
              <w:rFonts w:hint="eastAsia" w:ascii="楷体_GB2312" w:hAnsi="楷体_GB2312" w:eastAsia="楷体_GB2312" w:cs="楷体_GB2312"/>
              <w:snapToGrid/>
              <w:color w:val="0C0C0C"/>
              <w:kern w:val="2"/>
              <w:sz w:val="32"/>
              <w:szCs w:val="32"/>
              <w:highlight w:val="none"/>
              <w:lang w:val="en-US" w:eastAsia="zh-CN"/>
            </w:rPr>
            <w:instrText xml:space="preserve"> HYPERLINK \l _Toc22707 </w:instrText>
          </w:r>
          <w:r>
            <w:rPr>
              <w:rFonts w:hint="eastAsia" w:ascii="楷体_GB2312" w:hAnsi="楷体_GB2312" w:eastAsia="楷体_GB2312" w:cs="楷体_GB2312"/>
              <w:snapToGrid/>
              <w:color w:val="0C0C0C"/>
              <w:kern w:val="2"/>
              <w:sz w:val="32"/>
              <w:szCs w:val="32"/>
              <w:highlight w:val="none"/>
              <w:lang w:val="en-US" w:eastAsia="zh-CN"/>
            </w:rPr>
            <w:fldChar w:fldCharType="separate"/>
          </w:r>
          <w:r>
            <w:rPr>
              <w:rFonts w:hint="eastAsia" w:ascii="楷体_GB2312" w:hAnsi="楷体_GB2312" w:eastAsia="楷体_GB2312" w:cs="楷体_GB2312"/>
              <w:snapToGrid/>
              <w:color w:val="0C0C0C"/>
              <w:kern w:val="2"/>
              <w:sz w:val="32"/>
              <w:szCs w:val="32"/>
              <w:highlight w:val="none"/>
              <w:lang w:val="en-US" w:eastAsia="zh-CN"/>
            </w:rPr>
            <w:t>区环境应急协调小组成员单位通讯录</w:t>
          </w:r>
          <w:r>
            <w:rPr>
              <w:rFonts w:hint="eastAsia" w:ascii="楷体_GB2312" w:hAnsi="楷体_GB2312" w:eastAsia="楷体_GB2312" w:cs="楷体_GB2312"/>
              <w:snapToGrid/>
              <w:color w:val="0C0C0C"/>
              <w:kern w:val="2"/>
              <w:sz w:val="32"/>
              <w:szCs w:val="32"/>
              <w:highlight w:val="none"/>
              <w:lang w:val="en-US" w:eastAsia="zh-CN"/>
            </w:rPr>
            <w:fldChar w:fldCharType="end"/>
          </w:r>
        </w:p>
        <w:p w14:paraId="131BA1C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1600" w:firstLineChars="500"/>
            <w:jc w:val="both"/>
            <w:textAlignment w:val="auto"/>
            <w:rPr>
              <w:rFonts w:hint="eastAsia" w:ascii="楷体_GB2312" w:hAnsi="楷体_GB2312" w:eastAsia="楷体_GB2312" w:cs="楷体_GB2312"/>
              <w:snapToGrid/>
              <w:color w:val="0C0C0C"/>
              <w:kern w:val="2"/>
              <w:sz w:val="32"/>
              <w:szCs w:val="32"/>
              <w:highlight w:val="none"/>
              <w:lang w:val="en-US" w:eastAsia="zh-CN"/>
            </w:rPr>
          </w:pPr>
        </w:p>
        <w:p w14:paraId="53BBD32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highlight w:val="none"/>
            </w:rPr>
          </w:pPr>
          <w:r>
            <w:rPr>
              <w:rFonts w:hint="eastAsia" w:ascii="楷体_GB2312" w:hAnsi="楷体_GB2312" w:eastAsia="楷体_GB2312" w:cs="楷体_GB2312"/>
              <w:snapToGrid/>
              <w:color w:val="0C0C0C"/>
              <w:kern w:val="2"/>
              <w:sz w:val="32"/>
              <w:szCs w:val="32"/>
              <w:highlight w:val="none"/>
              <w:lang w:val="en-US" w:eastAsia="zh-CN"/>
            </w:rPr>
            <w:fldChar w:fldCharType="end"/>
          </w:r>
        </w:p>
        <w:p w14:paraId="56C96413">
          <w:pPr>
            <w:pStyle w:val="8"/>
            <w:pageBreakBefore w:val="0"/>
            <w:kinsoku/>
            <w:wordWrap/>
            <w:overflowPunct w:val="0"/>
            <w:topLinePunct/>
            <w:bidi w:val="0"/>
            <w:spacing w:after="0" w:line="560" w:lineRule="exact"/>
            <w:ind w:firstLine="0" w:firstLineChars="0"/>
            <w:jc w:val="both"/>
            <w:rPr>
              <w:rFonts w:ascii="仿宋" w:hAnsi="仿宋" w:eastAsia="仿宋" w:cs="仿宋"/>
              <w:color w:val="auto"/>
              <w:highlight w:val="none"/>
            </w:rPr>
            <w:sectPr>
              <w:headerReference r:id="rId5" w:type="default"/>
              <w:footerReference r:id="rId6" w:type="default"/>
              <w:pgSz w:w="11905" w:h="16838"/>
              <w:pgMar w:top="2098" w:right="1474" w:bottom="1984" w:left="1587" w:header="851" w:footer="992" w:gutter="0"/>
              <w:pgNumType w:fmt="decimal" w:start="1"/>
              <w:cols w:space="0" w:num="1"/>
              <w:rtlGutter w:val="0"/>
              <w:docGrid w:type="lines" w:linePitch="425" w:charSpace="0"/>
            </w:sectPr>
          </w:pPr>
        </w:p>
      </w:sdtContent>
    </w:sdt>
    <w:p w14:paraId="19C12C20">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ascii="仿宋" w:hAnsi="仿宋" w:eastAsia="仿宋" w:cs="仿宋"/>
          <w:b w:val="0"/>
          <w:bCs w:val="0"/>
          <w:snapToGrid/>
          <w:color w:val="auto"/>
          <w:sz w:val="32"/>
          <w:szCs w:val="44"/>
          <w:highlight w:val="none"/>
        </w:rPr>
      </w:pPr>
      <w:bookmarkStart w:id="0" w:name="_Toc30702"/>
      <w:bookmarkStart w:id="1" w:name="_Toc4041"/>
      <w:bookmarkStart w:id="2" w:name="_Toc1522736695"/>
      <w:bookmarkStart w:id="3" w:name="_Toc31258"/>
      <w:bookmarkStart w:id="4" w:name="_Toc4036"/>
      <w:bookmarkStart w:id="5" w:name="_Toc11631"/>
      <w:bookmarkStart w:id="6" w:name="_Toc20782"/>
      <w:bookmarkStart w:id="7" w:name="_Toc845060080"/>
      <w:bookmarkStart w:id="8" w:name="_Toc2220"/>
      <w:bookmarkStart w:id="9" w:name="_Toc15329"/>
      <w:bookmarkStart w:id="10" w:name="_Toc25921"/>
      <w:bookmarkStart w:id="11" w:name="_Toc9271"/>
      <w:bookmarkStart w:id="12" w:name="_Toc30555"/>
      <w:bookmarkStart w:id="13" w:name="_Toc40975742"/>
      <w:r>
        <w:rPr>
          <w:rFonts w:hint="eastAsia" w:ascii="黑体" w:hAnsi="黑体" w:eastAsia="黑体" w:cs="黑体"/>
          <w:b w:val="0"/>
          <w:bCs w:val="0"/>
          <w:snapToGrid/>
          <w:color w:val="auto"/>
          <w:sz w:val="32"/>
          <w:szCs w:val="44"/>
          <w:highlight w:val="none"/>
        </w:rPr>
        <w:t>1 总则</w:t>
      </w:r>
      <w:bookmarkEnd w:id="0"/>
      <w:bookmarkEnd w:id="1"/>
      <w:bookmarkEnd w:id="2"/>
      <w:bookmarkEnd w:id="3"/>
      <w:bookmarkEnd w:id="4"/>
      <w:bookmarkEnd w:id="5"/>
      <w:bookmarkEnd w:id="6"/>
      <w:bookmarkEnd w:id="7"/>
      <w:bookmarkEnd w:id="8"/>
      <w:bookmarkEnd w:id="9"/>
      <w:bookmarkEnd w:id="10"/>
      <w:bookmarkEnd w:id="11"/>
      <w:bookmarkEnd w:id="12"/>
      <w:bookmarkEnd w:id="13"/>
    </w:p>
    <w:p w14:paraId="02B1892A">
      <w:pPr>
        <w:pStyle w:val="3"/>
        <w:keepNext/>
        <w:keepLines/>
        <w:pageBreakBefore w:val="0"/>
        <w:widowControl w:val="0"/>
        <w:numPr>
          <w:ilvl w:val="1"/>
          <w:numId w:val="1"/>
        </w:numPr>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14" w:name="_Toc19754"/>
      <w:bookmarkStart w:id="15" w:name="_Toc5865"/>
      <w:bookmarkStart w:id="16" w:name="_Toc20764"/>
      <w:bookmarkStart w:id="17" w:name="_Toc1232"/>
      <w:r>
        <w:rPr>
          <w:rFonts w:hint="eastAsia" w:ascii="楷体_GB2312" w:hAnsi="楷体_GB2312" w:eastAsia="楷体_GB2312" w:cs="楷体_GB2312"/>
          <w:b w:val="0"/>
          <w:bCs/>
          <w:snapToGrid w:val="0"/>
          <w:color w:val="000000"/>
          <w:kern w:val="0"/>
          <w:sz w:val="32"/>
          <w:szCs w:val="32"/>
          <w:highlight w:val="none"/>
          <w:lang w:val="en-US" w:eastAsia="zh-CN" w:bidi="ar-SA"/>
        </w:rPr>
        <w:t>编制目的与依据</w:t>
      </w:r>
      <w:bookmarkEnd w:id="14"/>
      <w:bookmarkEnd w:id="15"/>
      <w:bookmarkEnd w:id="16"/>
      <w:bookmarkEnd w:id="17"/>
    </w:p>
    <w:p w14:paraId="02B916E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为健全完善</w:t>
      </w:r>
      <w:r>
        <w:rPr>
          <w:rFonts w:hint="eastAsia" w:ascii="仿宋_GB2312" w:hAnsi="仿宋_GB2312" w:eastAsia="仿宋_GB2312" w:cs="仿宋_GB2312"/>
          <w:sz w:val="32"/>
          <w:szCs w:val="32"/>
          <w:highlight w:val="none"/>
          <w:lang w:eastAsia="zh-CN"/>
        </w:rPr>
        <w:t>北京经济技术开发区（以下简称“经开区”）</w:t>
      </w:r>
      <w:r>
        <w:rPr>
          <w:rFonts w:hint="eastAsia" w:ascii="仿宋_GB2312" w:hAnsi="仿宋_GB2312" w:eastAsia="仿宋_GB2312" w:cs="仿宋_GB2312"/>
          <w:sz w:val="32"/>
          <w:szCs w:val="32"/>
          <w:highlight w:val="none"/>
        </w:rPr>
        <w:t>突发环境事件防范应对体制机制，最大限度减轻、消除突发环境事件的风险和危害，保障人民群众生命财产安全和环境安全，依据《中华人民共和国环境保护法》《突发环境事件应急管理办法》《北京市实施〈中华人民共和国突发事件应对法〉办法》《国家突发环境事件应急预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北京市突发事件总体预案（2021年修订）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《北京市突发环境事件应急预案（2023年修订）》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以下简称：《市环境应急预案》）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北京经济技术开发区</w:t>
      </w:r>
      <w:r>
        <w:rPr>
          <w:rFonts w:hint="eastAsia" w:ascii="仿宋_GB2312" w:hAnsi="仿宋_GB2312" w:eastAsia="仿宋_GB2312" w:cs="仿宋_GB2312"/>
          <w:sz w:val="32"/>
          <w:szCs w:val="32"/>
          <w:highlight w:val="none"/>
        </w:rPr>
        <w:t>突发事件总体应急预案（2022年修订）》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以下简称：《经开区总体预案》）</w:t>
      </w:r>
      <w:r>
        <w:rPr>
          <w:rFonts w:hint="eastAsia" w:ascii="仿宋_GB2312" w:hAnsi="仿宋_GB2312" w:eastAsia="仿宋_GB2312" w:cs="仿宋_GB2312"/>
          <w:sz w:val="32"/>
          <w:szCs w:val="32"/>
          <w:highlight w:val="none"/>
        </w:rPr>
        <w:t>以及其他有关法律、法规及规定，结合</w:t>
      </w:r>
      <w:r>
        <w:rPr>
          <w:rFonts w:hint="eastAsia" w:ascii="仿宋_GB2312" w:hAnsi="仿宋_GB2312" w:eastAsia="仿宋_GB2312" w:cs="仿宋_GB2312"/>
          <w:sz w:val="32"/>
          <w:szCs w:val="32"/>
          <w:highlight w:val="none"/>
          <w:lang w:eastAsia="zh-CN"/>
        </w:rPr>
        <w:t>北京经济技术开发区</w:t>
      </w:r>
      <w:r>
        <w:rPr>
          <w:rFonts w:hint="eastAsia" w:ascii="仿宋_GB2312" w:hAnsi="仿宋_GB2312" w:eastAsia="仿宋_GB2312" w:cs="仿宋_GB2312"/>
          <w:sz w:val="32"/>
          <w:szCs w:val="32"/>
          <w:highlight w:val="none"/>
        </w:rPr>
        <w:t>工作实际，制定本预案。</w:t>
      </w:r>
    </w:p>
    <w:p w14:paraId="34C33D5E">
      <w:pPr>
        <w:pStyle w:val="3"/>
        <w:keepNext/>
        <w:keepLines/>
        <w:pageBreakBefore w:val="0"/>
        <w:widowControl w:val="0"/>
        <w:numPr>
          <w:ilvl w:val="1"/>
          <w:numId w:val="1"/>
        </w:numPr>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18" w:name="_Toc5365"/>
      <w:bookmarkStart w:id="19" w:name="_Toc18791"/>
      <w:bookmarkStart w:id="20" w:name="_Toc9700"/>
      <w:bookmarkStart w:id="21" w:name="_Toc28938"/>
      <w:r>
        <w:rPr>
          <w:rFonts w:hint="eastAsia" w:ascii="楷体_GB2312" w:hAnsi="楷体_GB2312" w:eastAsia="楷体_GB2312" w:cs="楷体_GB2312"/>
          <w:b w:val="0"/>
          <w:bCs/>
          <w:snapToGrid w:val="0"/>
          <w:color w:val="000000"/>
          <w:kern w:val="0"/>
          <w:sz w:val="32"/>
          <w:szCs w:val="32"/>
          <w:highlight w:val="none"/>
          <w:lang w:val="en-US" w:eastAsia="zh-CN" w:bidi="ar-SA"/>
        </w:rPr>
        <w:t>适用范围</w:t>
      </w:r>
      <w:bookmarkEnd w:id="18"/>
      <w:bookmarkEnd w:id="19"/>
      <w:bookmarkEnd w:id="20"/>
      <w:bookmarkEnd w:id="21"/>
    </w:p>
    <w:p w14:paraId="1728119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本预案适用于指导预防和处置发生在</w:t>
      </w: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lang w:eastAsia="zh-CN"/>
        </w:rPr>
        <w:t>区域内，或发生在其他地区涉及经开区，应由经开区处置或参与处置的突发环境事件。</w:t>
      </w:r>
    </w:p>
    <w:p w14:paraId="3510678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预案所称突发环境事件，是指由于污染物排放或自然灾害、生产安全事故、交通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14:paraId="08C0044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空气重污染应对工作按照《北京经济技术开发区空气重污染应急预案（</w:t>
      </w:r>
      <w:r>
        <w:rPr>
          <w:rFonts w:hint="eastAsia" w:ascii="仿宋_GB2312" w:hAnsi="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年修订）》规定执行。</w:t>
      </w:r>
    </w:p>
    <w:p w14:paraId="335C090D">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2" w:name="_Toc14530"/>
      <w:bookmarkStart w:id="23" w:name="_Toc6254"/>
      <w:bookmarkStart w:id="24" w:name="_Toc14250"/>
      <w:bookmarkStart w:id="25" w:name="_Toc13057"/>
      <w:r>
        <w:rPr>
          <w:rFonts w:hint="eastAsia" w:ascii="楷体_GB2312" w:hAnsi="楷体_GB2312" w:eastAsia="楷体_GB2312" w:cs="楷体_GB2312"/>
          <w:b w:val="0"/>
          <w:bCs/>
          <w:snapToGrid w:val="0"/>
          <w:color w:val="000000"/>
          <w:kern w:val="0"/>
          <w:sz w:val="32"/>
          <w:szCs w:val="32"/>
          <w:highlight w:val="none"/>
          <w:lang w:val="en-US" w:eastAsia="zh-CN" w:bidi="ar-SA"/>
        </w:rPr>
        <w:t>1.3 风险分析</w:t>
      </w:r>
      <w:bookmarkEnd w:id="22"/>
      <w:bookmarkEnd w:id="23"/>
      <w:bookmarkEnd w:id="24"/>
      <w:bookmarkEnd w:id="25"/>
    </w:p>
    <w:p w14:paraId="147954E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lang w:eastAsia="zh-CN"/>
        </w:rPr>
        <w:t>交通便利，社会经济活动活跃，</w:t>
      </w:r>
      <w:r>
        <w:rPr>
          <w:rFonts w:hint="eastAsia" w:ascii="仿宋_GB2312" w:hAnsi="仿宋_GB2312" w:eastAsia="仿宋_GB2312" w:cs="仿宋_GB2312"/>
          <w:sz w:val="32"/>
          <w:szCs w:val="32"/>
          <w:highlight w:val="none"/>
          <w:lang w:val="en-US" w:eastAsia="zh-CN"/>
        </w:rPr>
        <w:t>工业企业布局</w:t>
      </w:r>
      <w:r>
        <w:rPr>
          <w:rFonts w:hint="eastAsia" w:ascii="仿宋_GB2312" w:hAnsi="仿宋_GB2312" w:eastAsia="仿宋_GB2312" w:cs="仿宋_GB2312"/>
          <w:sz w:val="32"/>
          <w:szCs w:val="32"/>
          <w:highlight w:val="none"/>
          <w:lang w:eastAsia="zh-CN"/>
        </w:rPr>
        <w:t>日益完善，随之产生的各类环境风险复杂多样。</w:t>
      </w: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lang w:eastAsia="zh-CN"/>
        </w:rPr>
        <w:t>内主要</w:t>
      </w:r>
      <w:r>
        <w:rPr>
          <w:rFonts w:hint="eastAsia" w:ascii="仿宋_GB2312" w:hAnsi="仿宋_GB2312" w:eastAsia="仿宋_GB2312" w:cs="仿宋_GB2312"/>
          <w:sz w:val="32"/>
          <w:szCs w:val="32"/>
          <w:highlight w:val="none"/>
          <w:lang w:val="en-US" w:eastAsia="zh-CN"/>
        </w:rPr>
        <w:t>地表水河流</w:t>
      </w:r>
      <w:r>
        <w:rPr>
          <w:rFonts w:hint="eastAsia" w:ascii="仿宋_GB2312" w:hAnsi="仿宋_GB2312" w:eastAsia="仿宋_GB2312" w:cs="仿宋_GB2312"/>
          <w:sz w:val="32"/>
          <w:szCs w:val="32"/>
          <w:highlight w:val="none"/>
          <w:lang w:eastAsia="zh-CN"/>
        </w:rPr>
        <w:t>是凉水河、</w:t>
      </w:r>
      <w:r>
        <w:rPr>
          <w:rFonts w:hint="eastAsia" w:ascii="仿宋_GB2312" w:hAnsi="仿宋_GB2312" w:eastAsia="仿宋_GB2312" w:cs="仿宋_GB2312"/>
          <w:sz w:val="32"/>
          <w:szCs w:val="32"/>
          <w:highlight w:val="none"/>
          <w:lang w:val="en-US" w:eastAsia="zh-CN"/>
        </w:rPr>
        <w:t>新凤河、大羊坊沟、通惠北干渠</w:t>
      </w:r>
      <w:r>
        <w:rPr>
          <w:rFonts w:hint="eastAsia" w:ascii="仿宋_GB2312" w:hAnsi="仿宋_GB2312" w:eastAsia="仿宋_GB2312" w:cs="仿宋_GB2312"/>
          <w:sz w:val="32"/>
          <w:szCs w:val="32"/>
          <w:highlight w:val="none"/>
          <w:lang w:eastAsia="zh-CN"/>
        </w:rPr>
        <w:t>；教育、医疗、住房、商业等资源</w:t>
      </w:r>
      <w:r>
        <w:rPr>
          <w:rFonts w:hint="eastAsia" w:ascii="仿宋_GB2312" w:hAnsi="仿宋_GB2312" w:eastAsia="仿宋_GB2312" w:cs="仿宋_GB2312"/>
          <w:sz w:val="32"/>
          <w:szCs w:val="32"/>
          <w:highlight w:val="none"/>
          <w:lang w:val="en-US" w:eastAsia="zh-CN"/>
        </w:rPr>
        <w:t>日益</w:t>
      </w:r>
      <w:r>
        <w:rPr>
          <w:rFonts w:hint="eastAsia" w:ascii="仿宋_GB2312" w:hAnsi="仿宋_GB2312" w:eastAsia="仿宋_GB2312" w:cs="仿宋_GB2312"/>
          <w:sz w:val="32"/>
          <w:szCs w:val="32"/>
          <w:highlight w:val="none"/>
          <w:lang w:eastAsia="zh-CN"/>
        </w:rPr>
        <w:t>完善，环境风险受体脆弱性较高，由自然灾害、生产安全事故、交通事故等引发突发环境事件的风险较高。</w:t>
      </w:r>
    </w:p>
    <w:p w14:paraId="0425370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近年来，北京经济技术开发区生态环境现状较好，环境安全管理严格，未发生较大以上级别的环境安全事件。但交通事故、安全生产、自然灾害引发突发环境事件的风险依然存在，从</w:t>
      </w:r>
      <w:r>
        <w:rPr>
          <w:rFonts w:hint="eastAsia" w:ascii="仿宋_GB2312" w:hAnsi="仿宋_GB2312" w:eastAsia="仿宋_GB2312" w:cs="仿宋_GB2312"/>
          <w:sz w:val="32"/>
          <w:szCs w:val="32"/>
          <w:highlight w:val="none"/>
          <w:lang w:val="en-US" w:eastAsia="zh-CN"/>
        </w:rPr>
        <w:t>全市</w:t>
      </w:r>
      <w:r>
        <w:rPr>
          <w:rFonts w:hint="eastAsia" w:ascii="仿宋_GB2312" w:hAnsi="仿宋_GB2312" w:eastAsia="仿宋_GB2312" w:cs="仿宋_GB2312"/>
          <w:sz w:val="32"/>
          <w:szCs w:val="32"/>
          <w:highlight w:val="none"/>
          <w:lang w:eastAsia="zh-CN"/>
        </w:rPr>
        <w:t>总体情况看，呈现交通事故引发突发环境事件占比大，企业生产管理不善易引发突发环境事件的特点。面对高度聚集的城市要素、点多面广的事发来源，需不断提升风险防控及应急处置水平。</w:t>
      </w:r>
    </w:p>
    <w:p w14:paraId="231FEE62">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6" w:name="_Toc26248"/>
      <w:bookmarkStart w:id="27" w:name="_Toc20336"/>
      <w:bookmarkStart w:id="28" w:name="_Toc23213"/>
      <w:bookmarkStart w:id="29" w:name="_Toc48448422"/>
      <w:bookmarkStart w:id="30" w:name="_Toc2622"/>
      <w:bookmarkStart w:id="31" w:name="_Toc6810"/>
      <w:bookmarkStart w:id="32" w:name="_Toc17706"/>
      <w:bookmarkStart w:id="33" w:name="_Toc28467"/>
      <w:bookmarkStart w:id="34" w:name="_Toc19965"/>
      <w:bookmarkStart w:id="35" w:name="_Toc20026"/>
      <w:bookmarkStart w:id="36" w:name="_Toc11450"/>
      <w:bookmarkStart w:id="37" w:name="_Toc93791438"/>
      <w:r>
        <w:rPr>
          <w:rFonts w:hint="eastAsia" w:ascii="楷体_GB2312" w:hAnsi="楷体_GB2312" w:eastAsia="楷体_GB2312" w:cs="楷体_GB2312"/>
          <w:b w:val="0"/>
          <w:bCs/>
          <w:snapToGrid w:val="0"/>
          <w:color w:val="000000"/>
          <w:kern w:val="0"/>
          <w:sz w:val="32"/>
          <w:szCs w:val="32"/>
          <w:highlight w:val="none"/>
          <w:lang w:val="en-US" w:eastAsia="zh-CN" w:bidi="ar-SA"/>
        </w:rPr>
        <w:t>1.4 工作原则</w:t>
      </w:r>
      <w:bookmarkEnd w:id="26"/>
      <w:bookmarkEnd w:id="27"/>
      <w:bookmarkEnd w:id="28"/>
    </w:p>
    <w:p w14:paraId="33ED26C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1.4.1</w:t>
      </w:r>
      <w:r>
        <w:rPr>
          <w:rFonts w:hint="eastAsia" w:ascii="仿宋_GB2312" w:hAnsi="仿宋_GB2312" w:eastAsia="仿宋_GB2312" w:cs="仿宋_GB2312"/>
          <w:sz w:val="32"/>
          <w:szCs w:val="32"/>
          <w:highlight w:val="none"/>
          <w:lang w:eastAsia="zh-CN"/>
        </w:rPr>
        <w:t>坚持以人为本，积极预防</w:t>
      </w:r>
      <w:bookmarkEnd w:id="29"/>
      <w:bookmarkEnd w:id="30"/>
      <w:bookmarkEnd w:id="31"/>
      <w:bookmarkEnd w:id="32"/>
      <w:bookmarkEnd w:id="33"/>
      <w:bookmarkEnd w:id="34"/>
      <w:bookmarkEnd w:id="35"/>
      <w:bookmarkEnd w:id="36"/>
      <w:bookmarkEnd w:id="37"/>
      <w:r>
        <w:rPr>
          <w:rFonts w:hint="eastAsia" w:ascii="仿宋_GB2312" w:hAnsi="仿宋_GB2312" w:eastAsia="仿宋_GB2312" w:cs="仿宋_GB2312"/>
          <w:sz w:val="32"/>
          <w:szCs w:val="32"/>
          <w:highlight w:val="none"/>
          <w:lang w:eastAsia="zh-CN"/>
        </w:rPr>
        <w:t>。牢固树立以人民为中心的发展思想和“人民至上、生命至上”的理念，切实把人民群众生命健康放在首位，最大程度保护人民群众生命安全；落实生态环境“保护优先、预防为主”的原则，强化环境风险防范工作，消除环境安全隐患，加强环境应急能力建设，完善应急救援保障体系。</w:t>
      </w:r>
    </w:p>
    <w:p w14:paraId="00A92F5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lang w:eastAsia="zh-CN"/>
        </w:rPr>
        <w:t>坚持工委领导、统分结合。在工委、管委会统一领导下，经开区安全生产与应急管理委员会（以下简称安全应急委）统筹负责，</w:t>
      </w:r>
      <w:r>
        <w:rPr>
          <w:rFonts w:hint="eastAsia" w:ascii="仿宋_GB2312" w:hAnsi="仿宋_GB2312" w:eastAsia="仿宋_GB2312" w:cs="仿宋_GB2312"/>
          <w:sz w:val="32"/>
          <w:szCs w:val="32"/>
          <w:highlight w:val="none"/>
          <w:lang w:val="en-US" w:eastAsia="zh-CN"/>
        </w:rPr>
        <w:t>经开</w:t>
      </w:r>
      <w:r>
        <w:rPr>
          <w:rFonts w:hint="eastAsia" w:ascii="仿宋_GB2312" w:hAnsi="仿宋_GB2312" w:cs="仿宋_GB2312"/>
          <w:sz w:val="32"/>
          <w:szCs w:val="32"/>
          <w:highlight w:val="none"/>
          <w:lang w:val="en-US" w:eastAsia="zh-CN"/>
        </w:rPr>
        <w:t>区城市运行局</w:t>
      </w:r>
      <w:r>
        <w:rPr>
          <w:rFonts w:hint="eastAsia" w:ascii="仿宋_GB2312" w:hAnsi="仿宋_GB2312" w:eastAsia="仿宋_GB2312" w:cs="仿宋_GB2312"/>
          <w:sz w:val="32"/>
          <w:szCs w:val="32"/>
          <w:highlight w:val="none"/>
          <w:lang w:eastAsia="zh-CN"/>
        </w:rPr>
        <w:t>、各</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持续完善分类管理、源头防控的突发</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lang w:eastAsia="zh-CN"/>
        </w:rPr>
        <w:t>事件风险防范和应对职责体系，形成“工委领导、管委会主导，部门联动、条块结合，专业处置、社会参与”的工作格局。</w:t>
      </w:r>
    </w:p>
    <w:p w14:paraId="51ED2BD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1.4.3</w:t>
      </w:r>
      <w:r>
        <w:rPr>
          <w:rFonts w:hint="eastAsia" w:ascii="仿宋_GB2312" w:hAnsi="仿宋_GB2312" w:eastAsia="仿宋_GB2312" w:cs="仿宋_GB2312"/>
          <w:sz w:val="32"/>
          <w:szCs w:val="32"/>
          <w:highlight w:val="none"/>
          <w:lang w:eastAsia="zh-CN"/>
        </w:rPr>
        <w:t>坚持分类处置，协调联动。针对突发环境事件起因复杂、次生衍生性突出等特点，按原生事件类型，各有关部门按照职责分工，协调相关应急力量，高效有序处置；强化跨区域、跨流域、多部门和政企之间协同联动机制，加强信息沟通、政策协调和资源共享，实现组织、资源、信息的有机整合，组织动员社会力量广泛参与，形成处置合力。</w:t>
      </w:r>
    </w:p>
    <w:p w14:paraId="5BB5795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1.4.4</w:t>
      </w:r>
      <w:r>
        <w:rPr>
          <w:rFonts w:hint="eastAsia" w:ascii="仿宋_GB2312" w:hAnsi="仿宋_GB2312" w:eastAsia="仿宋_GB2312" w:cs="仿宋_GB2312"/>
          <w:sz w:val="32"/>
          <w:szCs w:val="32"/>
          <w:highlight w:val="none"/>
          <w:lang w:eastAsia="zh-CN"/>
        </w:rPr>
        <w:t>坚持依法规范、科技支撑。健全应急管理配套制度体系，推进突发事件应对工作规范化、制度化、法治化建设。不断加强科技投入，充分发挥专家队伍和专业人员作用，提高突发</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lang w:eastAsia="zh-CN"/>
        </w:rPr>
        <w:t>事件应对的科学化、专业化、智能化、精细化水平，推进应急管理体系和能力现代化。</w:t>
      </w:r>
      <w:bookmarkStart w:id="38" w:name="_Toc13139"/>
      <w:bookmarkStart w:id="39" w:name="_Toc12583"/>
      <w:bookmarkStart w:id="40" w:name="_Toc4100"/>
      <w:bookmarkStart w:id="41" w:name="_Toc304476551"/>
      <w:bookmarkStart w:id="42" w:name="_Toc13161"/>
      <w:bookmarkStart w:id="43" w:name="_Toc27440"/>
      <w:bookmarkStart w:id="44" w:name="_Toc15458"/>
      <w:bookmarkStart w:id="45" w:name="_Toc16241"/>
      <w:bookmarkStart w:id="46" w:name="_Toc12790"/>
      <w:bookmarkStart w:id="47" w:name="_Toc884741819"/>
      <w:bookmarkStart w:id="48" w:name="_Toc13542"/>
      <w:bookmarkStart w:id="49" w:name="_Toc18399"/>
      <w:bookmarkStart w:id="50" w:name="_Toc5423"/>
    </w:p>
    <w:p w14:paraId="25B4A8F6">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r>
        <w:rPr>
          <w:rFonts w:hint="eastAsia" w:ascii="楷体_GB2312" w:hAnsi="楷体_GB2312" w:eastAsia="楷体_GB2312" w:cs="楷体_GB2312"/>
          <w:b w:val="0"/>
          <w:bCs/>
          <w:snapToGrid w:val="0"/>
          <w:color w:val="000000"/>
          <w:kern w:val="0"/>
          <w:sz w:val="32"/>
          <w:szCs w:val="32"/>
          <w:highlight w:val="none"/>
          <w:lang w:val="en-US" w:eastAsia="zh-CN" w:bidi="ar-SA"/>
        </w:rPr>
        <w:t>1.5 事件分级</w:t>
      </w:r>
      <w:bookmarkEnd w:id="38"/>
      <w:bookmarkEnd w:id="39"/>
      <w:bookmarkEnd w:id="40"/>
      <w:bookmarkEnd w:id="41"/>
      <w:bookmarkEnd w:id="42"/>
      <w:bookmarkEnd w:id="43"/>
      <w:bookmarkEnd w:id="44"/>
      <w:bookmarkEnd w:id="45"/>
      <w:bookmarkEnd w:id="46"/>
      <w:bookmarkEnd w:id="47"/>
      <w:bookmarkEnd w:id="48"/>
      <w:bookmarkEnd w:id="49"/>
      <w:bookmarkEnd w:id="50"/>
    </w:p>
    <w:p w14:paraId="64CD347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本预案事件分级参照《北京市突发环境事件应急预案》，按照突发环境事件严重性和紧急程度，突发环境事件分为特别重大、重大、较大和一般四级。事件分级标准见附件 1。</w:t>
      </w:r>
    </w:p>
    <w:p w14:paraId="4C36EA87">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51" w:name="_Toc2390"/>
      <w:bookmarkStart w:id="52" w:name="_Toc11727"/>
      <w:bookmarkStart w:id="53" w:name="_Toc29301"/>
      <w:bookmarkStart w:id="54" w:name="_Toc11140"/>
      <w:bookmarkStart w:id="55" w:name="_Toc1275"/>
      <w:bookmarkStart w:id="56" w:name="_Toc8831"/>
      <w:r>
        <w:rPr>
          <w:rFonts w:hint="eastAsia" w:ascii="楷体_GB2312" w:hAnsi="楷体_GB2312" w:eastAsia="楷体_GB2312" w:cs="楷体_GB2312"/>
          <w:b w:val="0"/>
          <w:bCs/>
          <w:snapToGrid w:val="0"/>
          <w:color w:val="000000"/>
          <w:kern w:val="0"/>
          <w:sz w:val="32"/>
          <w:szCs w:val="32"/>
          <w:highlight w:val="none"/>
          <w:lang w:val="en-US" w:eastAsia="zh-CN" w:bidi="ar-SA"/>
        </w:rPr>
        <w:t>1.6 应急预案体系</w:t>
      </w:r>
      <w:bookmarkEnd w:id="51"/>
      <w:bookmarkEnd w:id="52"/>
      <w:bookmarkEnd w:id="53"/>
      <w:bookmarkEnd w:id="54"/>
      <w:bookmarkEnd w:id="55"/>
      <w:bookmarkEnd w:id="56"/>
    </w:p>
    <w:p w14:paraId="585EAD9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bookmarkStart w:id="57" w:name="_Hlk103335744"/>
      <w:r>
        <w:rPr>
          <w:rFonts w:hint="eastAsia" w:ascii="仿宋_GB2312" w:hAnsi="仿宋_GB2312" w:eastAsia="仿宋_GB2312" w:cs="仿宋_GB2312"/>
          <w:sz w:val="32"/>
          <w:szCs w:val="32"/>
          <w:highlight w:val="none"/>
          <w:lang w:eastAsia="zh-CN"/>
        </w:rPr>
        <w:t>本区突发环境事件应急预案体系按层级分为区、</w:t>
      </w:r>
      <w:r>
        <w:rPr>
          <w:rFonts w:hint="eastAsia" w:ascii="仿宋_GB2312" w:hAnsi="仿宋_GB2312" w:cs="仿宋_GB2312"/>
          <w:sz w:val="32"/>
          <w:szCs w:val="32"/>
          <w:highlight w:val="none"/>
          <w:lang w:eastAsia="zh-CN"/>
        </w:rPr>
        <w:t>街道（镇）</w:t>
      </w:r>
      <w:r>
        <w:rPr>
          <w:rFonts w:hint="eastAsia" w:ascii="仿宋_GB2312" w:hAnsi="仿宋_GB2312" w:eastAsia="仿宋_GB2312" w:cs="仿宋_GB2312"/>
          <w:sz w:val="32"/>
          <w:szCs w:val="32"/>
          <w:highlight w:val="none"/>
          <w:lang w:eastAsia="zh-CN"/>
        </w:rPr>
        <w:t>、企业事业单位三级预案。其中，区级预案包括本预案、区相关部门处置突发环境事件应急预案或内容涵盖突发环境事件应急处置的其他预案；</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制定本辖区突发环境事件应急预案，或与其他种类突发事件应急预案合并编制；企业事业单位按照有关规定制定本单位突发环境事件应急预案</w:t>
      </w:r>
      <w:bookmarkEnd w:id="57"/>
      <w:r>
        <w:rPr>
          <w:rFonts w:hint="eastAsia" w:ascii="仿宋_GB2312" w:hAnsi="仿宋_GB2312" w:eastAsia="仿宋_GB2312" w:cs="仿宋_GB2312"/>
          <w:sz w:val="32"/>
          <w:szCs w:val="32"/>
          <w:highlight w:val="none"/>
          <w:lang w:eastAsia="zh-CN"/>
        </w:rPr>
        <w:t>。各类各级突发环境事件预案的工作机制应做好衔接。</w:t>
      </w:r>
    </w:p>
    <w:p w14:paraId="137CDC1F">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58" w:name="_Toc29568"/>
      <w:bookmarkStart w:id="59" w:name="_Toc2003721320"/>
      <w:bookmarkStart w:id="60" w:name="_Toc4716"/>
      <w:bookmarkStart w:id="61" w:name="_Toc29527"/>
      <w:bookmarkStart w:id="62" w:name="_Toc1571200932"/>
      <w:bookmarkStart w:id="63" w:name="_Toc8742"/>
      <w:bookmarkStart w:id="64" w:name="_Toc14927"/>
      <w:bookmarkStart w:id="65" w:name="_Toc3487"/>
      <w:bookmarkStart w:id="66" w:name="_Toc27937"/>
      <w:bookmarkStart w:id="67" w:name="_Toc11219"/>
      <w:bookmarkStart w:id="68" w:name="_Toc20860"/>
      <w:bookmarkStart w:id="69" w:name="_Toc4116"/>
      <w:bookmarkStart w:id="70" w:name="_Toc486"/>
      <w:r>
        <w:rPr>
          <w:rFonts w:hint="eastAsia" w:ascii="黑体" w:hAnsi="黑体" w:eastAsia="黑体" w:cs="黑体"/>
          <w:b w:val="0"/>
          <w:bCs w:val="0"/>
          <w:snapToGrid/>
          <w:color w:val="auto"/>
          <w:sz w:val="32"/>
          <w:szCs w:val="44"/>
          <w:highlight w:val="none"/>
        </w:rPr>
        <w:t xml:space="preserve">2 </w:t>
      </w:r>
      <w:bookmarkEnd w:id="58"/>
      <w:bookmarkEnd w:id="59"/>
      <w:bookmarkEnd w:id="60"/>
      <w:bookmarkEnd w:id="61"/>
      <w:bookmarkEnd w:id="62"/>
      <w:r>
        <w:rPr>
          <w:rFonts w:hint="eastAsia" w:ascii="黑体" w:hAnsi="黑体" w:eastAsia="黑体" w:cs="黑体"/>
          <w:b w:val="0"/>
          <w:bCs w:val="0"/>
          <w:snapToGrid/>
          <w:color w:val="auto"/>
          <w:sz w:val="32"/>
          <w:szCs w:val="44"/>
          <w:highlight w:val="none"/>
        </w:rPr>
        <w:t>组织机构及职责</w:t>
      </w:r>
      <w:bookmarkEnd w:id="63"/>
      <w:bookmarkEnd w:id="64"/>
      <w:bookmarkEnd w:id="65"/>
      <w:bookmarkEnd w:id="66"/>
      <w:bookmarkEnd w:id="67"/>
      <w:bookmarkEnd w:id="68"/>
      <w:bookmarkEnd w:id="69"/>
      <w:bookmarkEnd w:id="70"/>
    </w:p>
    <w:p w14:paraId="23B63271">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71" w:name="_Toc16357"/>
      <w:bookmarkStart w:id="72" w:name="_Toc29866"/>
      <w:bookmarkStart w:id="73" w:name="_Toc20354"/>
      <w:bookmarkStart w:id="74" w:name="_Toc1853156633"/>
      <w:bookmarkStart w:id="75" w:name="_Toc18813"/>
      <w:bookmarkStart w:id="76" w:name="_Toc28455"/>
      <w:bookmarkStart w:id="77" w:name="_Toc10332"/>
      <w:bookmarkStart w:id="78" w:name="_Toc26910"/>
      <w:bookmarkStart w:id="79" w:name="_Toc15907"/>
      <w:bookmarkStart w:id="80" w:name="_Toc1715140612"/>
      <w:bookmarkStart w:id="81" w:name="_Toc13509"/>
      <w:bookmarkStart w:id="82" w:name="_Toc23654"/>
      <w:bookmarkStart w:id="83" w:name="_Toc32178"/>
      <w:r>
        <w:rPr>
          <w:rFonts w:hint="eastAsia" w:ascii="楷体_GB2312" w:hAnsi="楷体_GB2312" w:eastAsia="楷体_GB2312" w:cs="楷体_GB2312"/>
          <w:b w:val="0"/>
          <w:bCs/>
          <w:snapToGrid w:val="0"/>
          <w:color w:val="000000"/>
          <w:kern w:val="0"/>
          <w:sz w:val="32"/>
          <w:szCs w:val="32"/>
          <w:highlight w:val="none"/>
          <w:lang w:val="en-US" w:eastAsia="zh-CN" w:bidi="ar-SA"/>
        </w:rPr>
        <w:t>2.1 区环境应急</w:t>
      </w:r>
      <w:bookmarkEnd w:id="71"/>
      <w:bookmarkEnd w:id="72"/>
      <w:bookmarkEnd w:id="73"/>
      <w:bookmarkEnd w:id="74"/>
      <w:bookmarkEnd w:id="75"/>
      <w:bookmarkEnd w:id="76"/>
      <w:bookmarkEnd w:id="77"/>
      <w:bookmarkEnd w:id="78"/>
      <w:bookmarkEnd w:id="79"/>
      <w:bookmarkEnd w:id="80"/>
      <w:r>
        <w:rPr>
          <w:rFonts w:hint="eastAsia" w:ascii="楷体_GB2312" w:hAnsi="楷体_GB2312" w:eastAsia="楷体_GB2312" w:cs="楷体_GB2312"/>
          <w:b w:val="0"/>
          <w:bCs/>
          <w:snapToGrid w:val="0"/>
          <w:color w:val="000000"/>
          <w:kern w:val="0"/>
          <w:sz w:val="32"/>
          <w:szCs w:val="32"/>
          <w:highlight w:val="none"/>
          <w:lang w:val="en-US" w:eastAsia="zh-CN" w:bidi="ar-SA"/>
        </w:rPr>
        <w:t>协调小组</w:t>
      </w:r>
      <w:bookmarkEnd w:id="81"/>
      <w:bookmarkEnd w:id="82"/>
      <w:bookmarkEnd w:id="83"/>
    </w:p>
    <w:p w14:paraId="4BFA126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组建</w:t>
      </w: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rPr>
        <w:t>突发环境事件应急工作协调小组（以下简称</w:t>
      </w: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），在</w:t>
      </w:r>
      <w:r>
        <w:rPr>
          <w:rFonts w:hint="eastAsia" w:ascii="仿宋_GB2312" w:hAnsi="仿宋_GB2312" w:cs="仿宋_GB2312"/>
          <w:sz w:val="32"/>
          <w:szCs w:val="32"/>
          <w:highlight w:val="none"/>
          <w:lang w:val="en-US" w:eastAsia="zh-CN"/>
        </w:rPr>
        <w:t>工委、管委会统一领导，安全应急委指挥下</w:t>
      </w:r>
      <w:r>
        <w:rPr>
          <w:rFonts w:hint="eastAsia" w:ascii="仿宋_GB2312" w:hAnsi="仿宋_GB2312" w:eastAsia="仿宋_GB2312" w:cs="仿宋_GB2312"/>
          <w:sz w:val="32"/>
          <w:szCs w:val="32"/>
          <w:highlight w:val="none"/>
        </w:rPr>
        <w:t>，开展突发环境事件风险防控、应急准备</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应急处置工作。</w:t>
      </w:r>
    </w:p>
    <w:p w14:paraId="14822A6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区环境应急协调小组组长由经开区管委会分管副主任担任，副组长由经开区城市运行局局长担任，</w:t>
      </w:r>
      <w:r>
        <w:rPr>
          <w:rFonts w:hint="eastAsia" w:ascii="仿宋_GB2312" w:hAnsi="仿宋_GB2312" w:eastAsia="仿宋_GB2312" w:cs="仿宋_GB2312"/>
          <w:sz w:val="32"/>
          <w:szCs w:val="32"/>
          <w:highlight w:val="none"/>
        </w:rPr>
        <w:t>成员单位由区相关部门和有关单位组成。</w:t>
      </w:r>
    </w:p>
    <w:p w14:paraId="4350D1D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主要职责为：</w:t>
      </w:r>
    </w:p>
    <w:p w14:paraId="33EEA37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贯彻落实突发环境事件应对相关法律、法规、规章；</w:t>
      </w:r>
    </w:p>
    <w:p w14:paraId="31679CB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落实本市应对突发环境事件的政策措施以及市环境应急协调小组相关工作机制、工作要求；</w:t>
      </w:r>
    </w:p>
    <w:p w14:paraId="522AF2F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（3）全面负责本区域突发环境事件的组织应对工作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val="en-US" w:eastAsia="zh-CN"/>
        </w:rPr>
        <w:t>成立区突发环境事件临时指挥部，</w:t>
      </w:r>
      <w:r>
        <w:rPr>
          <w:rFonts w:hint="eastAsia" w:ascii="仿宋_GB2312" w:hAnsi="仿宋_GB2312" w:eastAsia="仿宋_GB2312" w:cs="仿宋_GB2312"/>
          <w:sz w:val="32"/>
          <w:szCs w:val="32"/>
          <w:highlight w:val="none"/>
        </w:rPr>
        <w:t>具体负责一般突发</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rPr>
        <w:t>事件应急处置工作，并配合上级相关部门开展较大及以上突发</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rPr>
        <w:t>事件应急处置工作；</w:t>
      </w:r>
    </w:p>
    <w:p w14:paraId="7629B75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（4）分析总结突发环境事件应对工作，制定工作规划和计划；</w:t>
      </w:r>
    </w:p>
    <w:p w14:paraId="42BBD9C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（5）负责突发环境事件应急救援队伍、应急物资装备的建设管理工作；</w:t>
      </w:r>
    </w:p>
    <w:p w14:paraId="0A7654D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（6）指导</w:t>
      </w:r>
      <w:r>
        <w:rPr>
          <w:rFonts w:hint="eastAsia" w:ascii="仿宋_GB2312" w:hAnsi="仿宋_GB2312" w:cs="仿宋_GB2312"/>
          <w:sz w:val="32"/>
          <w:szCs w:val="32"/>
          <w:highlight w:val="none"/>
          <w:lang w:eastAsia="zh-CN"/>
        </w:rPr>
        <w:t>街道（镇）</w:t>
      </w:r>
      <w:r>
        <w:rPr>
          <w:rFonts w:hint="eastAsia" w:ascii="仿宋_GB2312" w:hAnsi="仿宋_GB2312" w:eastAsia="仿宋_GB2312" w:cs="仿宋_GB2312"/>
          <w:sz w:val="32"/>
          <w:szCs w:val="32"/>
          <w:highlight w:val="none"/>
        </w:rPr>
        <w:t>开展突发环境事件应急管理工作等；</w:t>
      </w:r>
    </w:p>
    <w:p w14:paraId="0DB5B63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（7）承担</w:t>
      </w:r>
      <w:r>
        <w:rPr>
          <w:rFonts w:hint="eastAsia" w:ascii="仿宋_GB2312" w:hAnsi="仿宋_GB2312" w:eastAsia="仿宋_GB2312" w:cs="仿宋_GB2312"/>
          <w:sz w:val="32"/>
          <w:szCs w:val="32"/>
          <w:highlight w:val="none"/>
          <w:lang w:val="en-US" w:eastAsia="zh-CN"/>
        </w:rPr>
        <w:t>经开区工委、管委会及</w:t>
      </w:r>
      <w:r>
        <w:rPr>
          <w:rFonts w:hint="eastAsia" w:ascii="仿宋_GB2312" w:hAnsi="仿宋_GB2312" w:eastAsia="仿宋_GB2312" w:cs="仿宋_GB2312"/>
          <w:sz w:val="32"/>
          <w:szCs w:val="32"/>
          <w:highlight w:val="none"/>
        </w:rPr>
        <w:t>安全应急委交办的其他事项。</w:t>
      </w:r>
    </w:p>
    <w:p w14:paraId="05119F38">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84" w:name="_Toc24455"/>
      <w:bookmarkStart w:id="85" w:name="_Toc21834"/>
      <w:bookmarkStart w:id="86" w:name="_Toc17858"/>
      <w:bookmarkStart w:id="87" w:name="_Toc21125"/>
      <w:r>
        <w:rPr>
          <w:rFonts w:hint="eastAsia" w:ascii="楷体_GB2312" w:hAnsi="楷体_GB2312" w:eastAsia="楷体_GB2312" w:cs="楷体_GB2312"/>
          <w:b w:val="0"/>
          <w:bCs/>
          <w:snapToGrid w:val="0"/>
          <w:color w:val="000000"/>
          <w:kern w:val="0"/>
          <w:sz w:val="32"/>
          <w:szCs w:val="32"/>
          <w:highlight w:val="none"/>
          <w:lang w:val="en-US" w:eastAsia="zh-CN" w:bidi="ar-SA"/>
        </w:rPr>
        <w:t>2.2 区环境应急协调小组办公室</w:t>
      </w:r>
      <w:bookmarkEnd w:id="84"/>
      <w:bookmarkEnd w:id="85"/>
      <w:bookmarkEnd w:id="86"/>
      <w:bookmarkEnd w:id="87"/>
    </w:p>
    <w:p w14:paraId="6C0E4F2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环境应急协调小组办公室设在城市运行局，作为经开区应急环境应急协调小组的日常工作机构，根据区环境应急协调小组的决定，负责规划、组织、协调、指导和检查本区突发环境事件应对工作及以应急管理的预案、体制、机制建设。区环境应急协调小组办公室主任由城市运行局局长担任。</w:t>
      </w:r>
    </w:p>
    <w:p w14:paraId="2312674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区环境应急协调小组办公室主要职责为：</w:t>
      </w:r>
    </w:p>
    <w:p w14:paraId="0F3C053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（1）组织落实区环境应急协调小组决定，协调和调动成员单位应对突发环境事件，建立应急联动机制，保证信息畅通，做到信息共享；</w:t>
      </w:r>
    </w:p>
    <w:p w14:paraId="645FB39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（2）建立健全环境应急值守制度，收集、分析工作信息，及时上报重要信息；</w:t>
      </w:r>
    </w:p>
    <w:p w14:paraId="6E36127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（3）负责组织开展本区突发环境事件风险评估控制、隐患排查治理工作；</w:t>
      </w:r>
    </w:p>
    <w:p w14:paraId="787EA76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（4）配合有关部门做好本区突发环境事件新闻发布工作；</w:t>
      </w:r>
    </w:p>
    <w:p w14:paraId="2BD7AD0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（5）组织编修与区环境应急协调小组职能相关的应急预案，完善经开区突发环境事件应急预案体系；</w:t>
      </w:r>
    </w:p>
    <w:p w14:paraId="1190335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（6）负责组织本区突发环境事件应急演练、宣传教育与培训工作；</w:t>
      </w:r>
    </w:p>
    <w:p w14:paraId="55CF80F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（7）负责经开区突发环境事件应急指挥系统的建设与管理工作；</w:t>
      </w:r>
    </w:p>
    <w:p w14:paraId="0C521EB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（8）负责经开区专家技术组的组建和日常管理工作；</w:t>
      </w:r>
    </w:p>
    <w:p w14:paraId="052E1B6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（9）承担区环境应急协调小组交办的其他事项。</w:t>
      </w:r>
    </w:p>
    <w:p w14:paraId="7FCCF3B4">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88" w:name="_Toc25231"/>
      <w:bookmarkStart w:id="89" w:name="_Toc28266"/>
      <w:bookmarkStart w:id="90" w:name="_Toc10431"/>
      <w:bookmarkStart w:id="91" w:name="_Toc31802"/>
      <w:r>
        <w:rPr>
          <w:rFonts w:hint="eastAsia" w:ascii="楷体_GB2312" w:hAnsi="楷体_GB2312" w:eastAsia="楷体_GB2312" w:cs="楷体_GB2312"/>
          <w:b w:val="0"/>
          <w:bCs/>
          <w:snapToGrid w:val="0"/>
          <w:color w:val="000000"/>
          <w:kern w:val="0"/>
          <w:sz w:val="32"/>
          <w:szCs w:val="32"/>
          <w:highlight w:val="none"/>
          <w:lang w:val="en-US" w:eastAsia="zh-CN" w:bidi="ar-SA"/>
        </w:rPr>
        <w:t>2.3 区环境应急协调小组成员单位</w:t>
      </w:r>
      <w:bookmarkEnd w:id="88"/>
      <w:bookmarkEnd w:id="89"/>
      <w:bookmarkEnd w:id="90"/>
      <w:bookmarkEnd w:id="91"/>
    </w:p>
    <w:p w14:paraId="277E761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成员单位主要包括城市运行局</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平安建设办公室、宣传文化部、地区协同事务局、经济发展局、</w:t>
      </w:r>
      <w:r>
        <w:rPr>
          <w:rFonts w:hint="eastAsia" w:ascii="仿宋_GB2312" w:hAnsi="仿宋_GB2312" w:cs="仿宋_GB2312"/>
          <w:sz w:val="32"/>
          <w:szCs w:val="32"/>
          <w:highlight w:val="none"/>
          <w:lang w:eastAsia="zh-CN"/>
        </w:rPr>
        <w:t>营商合作局</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科技创新局、</w:t>
      </w:r>
      <w:r>
        <w:rPr>
          <w:rFonts w:hint="eastAsia" w:ascii="仿宋_GB2312" w:hAnsi="仿宋_GB2312" w:eastAsia="仿宋_GB2312" w:cs="仿宋_GB2312"/>
          <w:sz w:val="32"/>
          <w:szCs w:val="32"/>
          <w:highlight w:val="none"/>
        </w:rPr>
        <w:t>财政审计局、开发建设局、社会事业局、商务金融局、行政审批局、综合执法局、规自北京经济技术开发区分局、市公安局大兴分局、经开区交通大队、经开区消防救援支队</w:t>
      </w:r>
      <w:r>
        <w:rPr>
          <w:rFonts w:hint="eastAsia" w:ascii="仿宋_GB2312" w:hAnsi="仿宋_GB2312" w:cs="仿宋_GB2312"/>
          <w:sz w:val="32"/>
          <w:szCs w:val="32"/>
          <w:highlight w:val="none"/>
          <w:lang w:eastAsia="zh-CN"/>
        </w:rPr>
        <w:t>。</w:t>
      </w:r>
    </w:p>
    <w:p w14:paraId="4B0C45E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成员单位通讯录见附件</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5574FCA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成员单位按照职责分工，结合实际编制处置突发环境事件的部门预案或在部门专项应急预案中制定环境应急预案专章等能够涵盖突发环境事件应急处置的内容；做好本行业、本领域突发事件风险防范，参与本行业引发突发环境事件的处置和调查；收集并通报可能引发突发环境事件信息。职责分工如下：</w:t>
      </w:r>
    </w:p>
    <w:p w14:paraId="37C8662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城市运行局：</w:t>
      </w:r>
    </w:p>
    <w:p w14:paraId="1292106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val="en-US" w:eastAsia="zh-CN"/>
        </w:rPr>
        <w:t>编制</w:t>
      </w:r>
      <w:r>
        <w:rPr>
          <w:rFonts w:hint="eastAsia" w:ascii="仿宋_GB2312" w:hAnsi="仿宋_GB2312" w:eastAsia="仿宋_GB2312" w:cs="仿宋_GB2312"/>
          <w:sz w:val="32"/>
          <w:szCs w:val="32"/>
          <w:highlight w:val="none"/>
        </w:rPr>
        <w:t>本区突发环境事件应急预案；负责监督、检查、指导突发环境事件风险防控及应急处置工作；对突发环境事件开展环境应急监测，跟踪环境污染动态情况；提出控制和消除环境污染的应急处置建议；参与制定环境恢复工作方案，推动环境恢复工作。</w:t>
      </w:r>
    </w:p>
    <w:p w14:paraId="7A9BF93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石油、天然气管道保护职责范围内的风险防范工作；参与城市公共设施、电力事故引发的突发环境事件的应急处置、评估和调查处理；配合做好突发环境事件应急处置中电、气、热供应保障及受损基础设施的修复工作；配合做好突发环境事件中产生的非危险废物的处置工作；配合做好城市运行行业领域可能导致突发环境事件信息的收集与通报工作。</w:t>
      </w:r>
    </w:p>
    <w:p w14:paraId="59620C6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负责所管辖河道、饮用水源等污染和城市排污设施事故的风险防范工作；参与突发水环境污染事件的处置和调查；负责协调河流的调水、配水、疏导及节流工作；组织对涉及职责范围内的被破坏的水务基础设施进行修复；组织做好备用生活用水调度和保障；负责提供水利、水文、排水管网等有关资料；提供突发水环境污染处置的应急装备、物资；做好可能导致突发环境事件信息的收集与通报工作。</w:t>
      </w:r>
      <w:r>
        <w:rPr>
          <w:rFonts w:hint="eastAsia" w:ascii="仿宋_GB2312" w:hAnsi="仿宋_GB2312" w:eastAsia="仿宋_GB2312" w:cs="仿宋_GB2312"/>
          <w:sz w:val="32"/>
          <w:szCs w:val="32"/>
          <w:highlight w:val="none"/>
        </w:rPr>
        <w:t>参与因突发环境事件造成的园林、动植物等资源损害评估和生态恢复重建工作；做好可能导致突发环境事件的信息的收集与通报工作</w:t>
      </w:r>
      <w:r>
        <w:rPr>
          <w:rFonts w:hint="eastAsia" w:ascii="仿宋_GB2312" w:hAnsi="仿宋_GB2312" w:eastAsia="仿宋_GB2312" w:cs="仿宋_GB2312"/>
          <w:sz w:val="32"/>
          <w:szCs w:val="32"/>
          <w:highlight w:val="none"/>
          <w:lang w:eastAsia="zh-CN"/>
        </w:rPr>
        <w:t>。</w:t>
      </w:r>
    </w:p>
    <w:p w14:paraId="71B2785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督促指导危险化学品生产经营企业做好事故风险防范工作，做好相关可能引发突发环境事件的信息收集与通报、事故处置与调查工作；负责指导事发地区做好受灾转移群众的安置工作。</w:t>
      </w:r>
    </w:p>
    <w:p w14:paraId="7888CD2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负责在突发环境事件中组织配合有关部门做好有关道路设施的应急保障，保障应急抢险物资运输；做好可能导致突发环境事件信息的收集与通报工作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配合有关部门做好取得道路运输资质的危险化学品运输车辆调查工作，防止因交通事故引发的次生环境污染</w:t>
      </w:r>
      <w:r>
        <w:rPr>
          <w:rFonts w:hint="eastAsia" w:ascii="仿宋_GB2312" w:hAnsi="仿宋_GB2312" w:eastAsia="仿宋_GB2312" w:cs="仿宋_GB2312"/>
          <w:sz w:val="32"/>
          <w:szCs w:val="32"/>
          <w:highlight w:val="none"/>
          <w:lang w:eastAsia="zh-CN"/>
        </w:rPr>
        <w:t>。</w:t>
      </w:r>
    </w:p>
    <w:p w14:paraId="09E2EFD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负责密切监测突发环境事件发生地及周边的天气情况，及时提供有关气象数据及有毒有害气体可能</w:t>
      </w:r>
      <w:r>
        <w:rPr>
          <w:rFonts w:hint="eastAsia" w:ascii="仿宋_GB2312" w:hAnsi="仿宋_GB2312" w:eastAsia="仿宋_GB2312" w:cs="仿宋_GB2312"/>
          <w:sz w:val="32"/>
          <w:szCs w:val="32"/>
          <w:highlight w:val="none"/>
          <w:lang w:val="en-US" w:eastAsia="zh-CN"/>
        </w:rPr>
        <w:t>扩散方向</w:t>
      </w:r>
      <w:r>
        <w:rPr>
          <w:rFonts w:hint="eastAsia" w:ascii="仿宋_GB2312" w:hAnsi="仿宋_GB2312" w:eastAsia="仿宋_GB2312" w:cs="仿宋_GB2312"/>
          <w:sz w:val="32"/>
          <w:szCs w:val="32"/>
          <w:highlight w:val="none"/>
        </w:rPr>
        <w:t>等信息，参与后期处置，协助完成突发环境事件调查评估工作</w:t>
      </w:r>
      <w:r>
        <w:rPr>
          <w:rFonts w:hint="eastAsia" w:ascii="仿宋_GB2312" w:hAnsi="仿宋_GB2312" w:eastAsia="仿宋_GB2312" w:cs="仿宋_GB2312"/>
          <w:sz w:val="32"/>
          <w:szCs w:val="32"/>
          <w:highlight w:val="none"/>
          <w:lang w:eastAsia="zh-CN"/>
        </w:rPr>
        <w:t>。</w:t>
      </w:r>
    </w:p>
    <w:p w14:paraId="25F2337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平安建设办公室：协调处理突发环境事件处置过程中的安全稳定事件。</w:t>
      </w:r>
    </w:p>
    <w:p w14:paraId="703A920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宣传文化部：整合区融媒体渠道，组织宣传避险知识并配合做好突发事件新闻宣传和信息发布工作。负责组织协调一般突发环境事件新闻宣传和信息发布工作；收集分析舆情和社会公众动态，做好媒体和互联网舆论的引导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负责会同有关部门做好网络舆情分析、引导工作，加强网络媒体和移动新媒体等信息发布管理，依法依规对散布谣言、恶意炒作等行为进行处理；做好突发环境事件应急处置信息安全保障。</w:t>
      </w:r>
    </w:p>
    <w:p w14:paraId="1036D65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地区协同事务局：负责农业领域突发环境事件的风险防范、应急处置和调查工作；参与突发环境事件造成耕地土壤污染治理和修复；做好可能导致突发环境事件信息的收集与通报工作。</w:t>
      </w:r>
    </w:p>
    <w:p w14:paraId="3321CDA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rPr>
        <w:t>经济发展局：</w:t>
      </w:r>
      <w:r>
        <w:rPr>
          <w:rFonts w:hint="eastAsia" w:ascii="仿宋_GB2312" w:hAnsi="仿宋_GB2312" w:eastAsia="仿宋_GB2312" w:cs="仿宋_GB2312"/>
          <w:sz w:val="32"/>
          <w:szCs w:val="32"/>
          <w:highlight w:val="none"/>
        </w:rPr>
        <w:t>负责按权限对突发环境事件灾后生态恢复重建项目的审批、核准工作。</w:t>
      </w:r>
    </w:p>
    <w:p w14:paraId="512BF8B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（6）营商合作局：组织协调突发环境事件救援防护装备、监测设备和应急处置物资的生产供应保障；参与生产或使用危险化学品的规模以上工业企业发生的突发环境事件的调查和处置。</w:t>
      </w:r>
    </w:p>
    <w:p w14:paraId="3111905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（7）科技创新局：参与生产或使用危险化学品的规模以下企业发生的突发环境事件的调查和处置。</w:t>
      </w:r>
    </w:p>
    <w:p w14:paraId="3A315B5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财政审计局：负责突发环境事件应急处置工作中应由区级财政安排的预算审批、资金拨付等经费保障及管理工作。督促所监管企业落实环境安全主体责任，制定突发环境事件应急预案，落实环境风险防范措施，做好环境安全隐患排查治理工作；督促监管企业配备应急救援物资，做好先期处置工作。</w:t>
      </w:r>
    </w:p>
    <w:p w14:paraId="423771E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（9）开发建设局：负责协调大型建筑机械的调用；参与突发环境事件抢险救援、评估和事故调查处理。</w:t>
      </w:r>
    </w:p>
    <w:p w14:paraId="4F0230C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10）社会事业局：指导、督促所管学校落实教学、科研等方面的环境风险防范工作，做好实验室危险化学品的储存使用和危险废物的收集、贮存和无害化处置；参与协调学校突发环境事件的应急处置工作和调查。负责指导医疗卫生机构做好医疗废水废物引发突发环境事件的风险防范工作；参与医疗废水废物引发突发环境事件的应急处置和调查工作；组织开展医疗卫生救治和疾病预防控制；负责突发环境事件中饮用水、公共场所的卫生监测检验和卫生学评价；做好可能导致突发环境事件的信息的收集与通报工作。</w:t>
      </w:r>
    </w:p>
    <w:p w14:paraId="63DE7C1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11）商务金融局：负责组织协调生活必需品以及所管理应急物资的储备、供应和调拨工作。协同相关部门加强对受污染区食品安全的监管管理；负责做好突发环境事件受影响区域市场秩序稳定；负责突发环境事件过程中所需的区级医药储备物资的应急保障工作。</w:t>
      </w:r>
    </w:p>
    <w:p w14:paraId="214DDF1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（12）行政审批局：做好突发环境事件应急指挥政务网络通信保障；协调经开区通信建设管理办公室组织推进、调动各种通信资源，为突发环境事件应急指挥提供通信保障。</w:t>
      </w:r>
    </w:p>
    <w:p w14:paraId="0B56FE2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13）综合执法局：配合公安部门对突发环境事件中存在的环境违法行为进行立案查处；牵头负责一般及以下突发环境事件调查取证，配合市级部门开展较大及以上突发环境事件调查；收集、汇总、分析突发环境事件调查取证资料。</w:t>
      </w:r>
    </w:p>
    <w:p w14:paraId="3C7AA7E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规自</w:t>
      </w:r>
      <w:r>
        <w:rPr>
          <w:rFonts w:hint="eastAsia" w:ascii="仿宋_GB2312" w:hAnsi="仿宋_GB2312" w:eastAsia="仿宋_GB2312" w:cs="仿宋_GB2312"/>
          <w:sz w:val="32"/>
          <w:szCs w:val="32"/>
          <w:highlight w:val="none"/>
          <w:lang w:eastAsia="zh-CN"/>
        </w:rPr>
        <w:t>北京经济技术开发区</w:t>
      </w:r>
      <w:r>
        <w:rPr>
          <w:rFonts w:hint="eastAsia" w:ascii="仿宋_GB2312" w:hAnsi="仿宋_GB2312" w:eastAsia="仿宋_GB2312" w:cs="仿宋_GB2312"/>
          <w:sz w:val="32"/>
          <w:szCs w:val="32"/>
          <w:highlight w:val="none"/>
        </w:rPr>
        <w:t>分局：参与地质灾害引发的突发环境事件的应急处置、修复、评估和调查处理；做好可能导致突发环境事件信息的收集与通报工作。</w:t>
      </w:r>
    </w:p>
    <w:p w14:paraId="628CC6F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市公安局大兴分局</w:t>
      </w:r>
      <w:r>
        <w:rPr>
          <w:rFonts w:hint="eastAsia" w:ascii="仿宋_GB2312" w:hAnsi="仿宋_GB2312" w:eastAsia="仿宋_GB2312" w:cs="仿宋_GB2312"/>
          <w:sz w:val="32"/>
          <w:szCs w:val="32"/>
          <w:highlight w:val="none"/>
        </w:rPr>
        <w:t>：会同有关部门做好危险化学品事故风险防范工作；参与因易制毒、易制爆及剧毒化学品造成突发环境事件的处置和调查工作；对突发环境事件中涉嫌重大责任事故的嫌疑人进行立案侦查；组织事故可能危及区域内人员疏散撤离；对突发环境事件现场及影响区域实施治安警戒，维护现场秩序。</w:t>
      </w:r>
    </w:p>
    <w:p w14:paraId="669FA77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rPr>
        <w:t>交通大队：负责突发环境事件现场</w:t>
      </w:r>
      <w:r>
        <w:rPr>
          <w:rFonts w:hint="eastAsia" w:ascii="仿宋_GB2312" w:hAnsi="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外围道路交通的疏导</w:t>
      </w:r>
      <w:r>
        <w:rPr>
          <w:rFonts w:hint="eastAsia" w:ascii="仿宋_GB2312" w:hAnsi="仿宋_GB2312" w:cs="仿宋_GB2312"/>
          <w:sz w:val="32"/>
          <w:szCs w:val="32"/>
          <w:highlight w:val="none"/>
          <w:lang w:val="en-US" w:eastAsia="zh-CN"/>
        </w:rPr>
        <w:t>及管控</w:t>
      </w:r>
      <w:r>
        <w:rPr>
          <w:rFonts w:hint="eastAsia" w:ascii="仿宋_GB2312" w:hAnsi="仿宋_GB2312" w:eastAsia="仿宋_GB2312" w:cs="仿宋_GB2312"/>
          <w:sz w:val="32"/>
          <w:szCs w:val="32"/>
          <w:highlight w:val="none"/>
        </w:rPr>
        <w:t>，必要时采取交通管控措施分流疏导社会交通，并通过广播电台、室外信息显示屏等发布交通信息；会同水务部门研究制定主要河流沿岸市政道路禁止危险化学品车辆通行措施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做好可能导致突发环境事件信息的收集与通报工作。</w:t>
      </w:r>
    </w:p>
    <w:p w14:paraId="69F8684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17）经开区</w:t>
      </w:r>
      <w:r>
        <w:rPr>
          <w:rFonts w:hint="eastAsia" w:ascii="仿宋_GB2312" w:hAnsi="仿宋_GB2312" w:eastAsia="仿宋_GB2312" w:cs="仿宋_GB2312"/>
          <w:sz w:val="32"/>
          <w:szCs w:val="32"/>
          <w:highlight w:val="none"/>
        </w:rPr>
        <w:t>消防救援支队：负责在本部门预案中编制突发环境事件应急处置专章；负责突发环境事件的现场火灾扑救；参加突发环境事件的现场抢险和应急救援，联合做好突发环境事件的现场处置工作。</w:t>
      </w:r>
    </w:p>
    <w:p w14:paraId="255F52B8">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92" w:name="_Toc5019"/>
      <w:bookmarkStart w:id="93" w:name="_Toc1021"/>
      <w:bookmarkStart w:id="94" w:name="_Toc6738"/>
      <w:bookmarkStart w:id="95" w:name="_Toc11972"/>
      <w:bookmarkStart w:id="96" w:name="_Toc28250"/>
      <w:bookmarkStart w:id="97" w:name="_Toc29005"/>
      <w:bookmarkStart w:id="98" w:name="_Toc6216"/>
      <w:bookmarkStart w:id="99" w:name="_Toc17595"/>
      <w:r>
        <w:rPr>
          <w:rFonts w:hint="eastAsia" w:ascii="楷体_GB2312" w:hAnsi="楷体_GB2312" w:eastAsia="楷体_GB2312" w:cs="楷体_GB2312"/>
          <w:b w:val="0"/>
          <w:bCs/>
          <w:snapToGrid w:val="0"/>
          <w:color w:val="000000"/>
          <w:kern w:val="0"/>
          <w:sz w:val="32"/>
          <w:szCs w:val="32"/>
          <w:highlight w:val="none"/>
          <w:lang w:val="en-US" w:eastAsia="zh-CN" w:bidi="ar-SA"/>
        </w:rPr>
        <w:t xml:space="preserve">2.4 </w:t>
      </w:r>
      <w:bookmarkEnd w:id="92"/>
      <w:bookmarkEnd w:id="93"/>
      <w:bookmarkEnd w:id="94"/>
      <w:bookmarkEnd w:id="95"/>
      <w:bookmarkEnd w:id="96"/>
      <w:bookmarkEnd w:id="97"/>
      <w:bookmarkEnd w:id="98"/>
      <w:r>
        <w:rPr>
          <w:rFonts w:hint="eastAsia" w:ascii="楷体_GB2312" w:hAnsi="楷体_GB2312" w:eastAsia="楷体_GB2312" w:cs="楷体_GB2312"/>
          <w:b w:val="0"/>
          <w:bCs/>
          <w:snapToGrid w:val="0"/>
          <w:color w:val="000000"/>
          <w:kern w:val="0"/>
          <w:sz w:val="32"/>
          <w:szCs w:val="32"/>
          <w:highlight w:val="none"/>
          <w:lang w:val="en-US" w:eastAsia="zh-CN" w:bidi="ar-SA"/>
        </w:rPr>
        <w:t>经开区突发环境事件临时应急指挥部</w:t>
      </w:r>
      <w:bookmarkEnd w:id="99"/>
    </w:p>
    <w:p w14:paraId="79C821E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初判</w:t>
      </w:r>
      <w:r>
        <w:rPr>
          <w:rFonts w:hint="eastAsia" w:ascii="仿宋_GB2312" w:hAnsi="仿宋_GB2312" w:eastAsia="仿宋_GB2312" w:cs="仿宋_GB2312"/>
          <w:sz w:val="32"/>
          <w:szCs w:val="32"/>
          <w:highlight w:val="none"/>
          <w:lang w:val="en-US" w:eastAsia="zh-CN"/>
        </w:rPr>
        <w:t>原生事件为</w:t>
      </w:r>
      <w:r>
        <w:rPr>
          <w:rFonts w:hint="eastAsia" w:ascii="仿宋_GB2312" w:hAnsi="仿宋_GB2312" w:eastAsia="仿宋_GB2312" w:cs="仿宋_GB2312"/>
          <w:sz w:val="32"/>
          <w:szCs w:val="32"/>
          <w:highlight w:val="none"/>
        </w:rPr>
        <w:t>突发环境事件时，由</w:t>
      </w: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建议或按照相关区领导要求，在区环境应急协调小组框架基础上，组建</w:t>
      </w:r>
      <w:r>
        <w:rPr>
          <w:rFonts w:hint="eastAsia" w:ascii="仿宋_GB2312" w:hAnsi="仿宋_GB2312" w:eastAsia="仿宋_GB2312" w:cs="仿宋_GB2312"/>
          <w:sz w:val="32"/>
          <w:szCs w:val="32"/>
          <w:highlight w:val="none"/>
          <w:lang w:eastAsia="zh-CN"/>
        </w:rPr>
        <w:t>北京经济技术开发区</w:t>
      </w:r>
      <w:r>
        <w:rPr>
          <w:rFonts w:hint="eastAsia" w:ascii="仿宋_GB2312" w:hAnsi="仿宋_GB2312" w:eastAsia="仿宋_GB2312" w:cs="仿宋_GB2312"/>
          <w:sz w:val="32"/>
          <w:szCs w:val="32"/>
          <w:highlight w:val="none"/>
        </w:rPr>
        <w:t>突发环境事件临时应急指挥部（以下简称“区临时指挥部”）。区临时指挥部总指挥由经开区管委会分管副主任担任，副总指挥由经开区城市运行局局长担任。</w:t>
      </w:r>
    </w:p>
    <w:p w14:paraId="3A70504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区临时指挥部主要职责：在</w:t>
      </w:r>
      <w:r>
        <w:rPr>
          <w:rFonts w:hint="eastAsia" w:ascii="仿宋_GB2312" w:hAnsi="仿宋_GB2312" w:eastAsia="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rPr>
        <w:t>工委、管委会、安全应急委统一领导下，组织本区一般</w:t>
      </w:r>
      <w:r>
        <w:rPr>
          <w:rFonts w:hint="eastAsia" w:ascii="仿宋_GB2312" w:hAnsi="仿宋_GB2312" w:eastAsia="仿宋_GB2312" w:cs="仿宋_GB2312"/>
          <w:sz w:val="32"/>
          <w:szCs w:val="32"/>
          <w:highlight w:val="none"/>
          <w:lang w:val="en-US" w:eastAsia="zh-CN"/>
        </w:rPr>
        <w:t>及以下</w:t>
      </w:r>
      <w:r>
        <w:rPr>
          <w:rFonts w:hint="eastAsia" w:ascii="仿宋_GB2312" w:hAnsi="仿宋_GB2312" w:eastAsia="仿宋_GB2312" w:cs="仿宋_GB2312"/>
          <w:sz w:val="32"/>
          <w:szCs w:val="32"/>
          <w:highlight w:val="none"/>
        </w:rPr>
        <w:t>突发环境事件应急处置工作；按照市级工作部署，参与其他突发环境应急事件应对工作。</w:t>
      </w:r>
    </w:p>
    <w:p w14:paraId="49055FB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由自然灾害、事故灾难以及其他类型事件造成次生的突发环境事件，且原生事件处置主责部门已成立或即将成立相关专项指挥部的，</w:t>
      </w: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不再单独组建区临时应急指挥部，由原生事件专项指挥部统一调度、协调、应对和处置事件对环境造成的影响。城市运行局按照相关原生事件专项指挥部工作组设置进行编组，主要负责事故现场环境应急监测、提出应急处置意见、协助相关部门处置、指导危险废物的无害化处理、参与事件调查等。由</w:t>
      </w:r>
      <w:r>
        <w:rPr>
          <w:rFonts w:hint="eastAsia" w:ascii="仿宋_GB2312" w:hAnsi="仿宋_GB2312" w:eastAsia="仿宋_GB2312" w:cs="仿宋_GB2312"/>
          <w:sz w:val="32"/>
          <w:szCs w:val="32"/>
          <w:highlight w:val="none"/>
          <w:lang w:val="en-US" w:eastAsia="zh-CN"/>
        </w:rPr>
        <w:t>城市运行</w:t>
      </w:r>
      <w:r>
        <w:rPr>
          <w:rFonts w:hint="eastAsia" w:ascii="仿宋_GB2312" w:hAnsi="仿宋_GB2312" w:eastAsia="仿宋_GB2312" w:cs="仿宋_GB2312"/>
          <w:sz w:val="32"/>
          <w:szCs w:val="32"/>
          <w:highlight w:val="none"/>
        </w:rPr>
        <w:t>局主责处置的突发环境事件应急工作按照本预案执行。</w:t>
      </w:r>
    </w:p>
    <w:p w14:paraId="3C1E147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区临时指挥部</w:t>
      </w:r>
      <w:r>
        <w:rPr>
          <w:rFonts w:hint="eastAsia" w:ascii="仿宋_GB2312" w:hAnsi="仿宋_GB2312" w:eastAsia="仿宋_GB2312" w:cs="仿宋_GB2312"/>
          <w:sz w:val="32"/>
          <w:szCs w:val="32"/>
          <w:highlight w:val="none"/>
        </w:rPr>
        <w:t>设</w:t>
      </w:r>
      <w:bookmarkStart w:id="100" w:name="_Hlk103338817"/>
      <w:r>
        <w:rPr>
          <w:rFonts w:hint="eastAsia" w:ascii="仿宋_GB2312" w:hAnsi="仿宋_GB2312" w:eastAsia="仿宋_GB2312" w:cs="仿宋_GB2312"/>
          <w:sz w:val="32"/>
          <w:szCs w:val="32"/>
          <w:highlight w:val="none"/>
        </w:rPr>
        <w:t>综合协调组、污染处置组、应急监测组、信息宣传组、医学救援组、综合保障组、秩序管控组、现场调查组、专家技术组</w:t>
      </w:r>
      <w:bookmarkEnd w:id="100"/>
      <w:r>
        <w:rPr>
          <w:rFonts w:hint="eastAsia" w:ascii="仿宋_GB2312" w:hAnsi="仿宋_GB2312" w:eastAsia="仿宋_GB2312" w:cs="仿宋_GB2312"/>
          <w:sz w:val="32"/>
          <w:szCs w:val="32"/>
          <w:highlight w:val="none"/>
        </w:rPr>
        <w:t>，现场编组可视情况进行调整。</w:t>
      </w:r>
    </w:p>
    <w:p w14:paraId="7E9422B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综合协调组</w:t>
      </w:r>
    </w:p>
    <w:p w14:paraId="713A44B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由城市运行局牵头，宣传文化部、经济发展局、</w:t>
      </w:r>
      <w:r>
        <w:rPr>
          <w:rFonts w:hint="eastAsia" w:ascii="仿宋_GB2312" w:hAnsi="仿宋_GB2312" w:cs="仿宋_GB2312"/>
          <w:sz w:val="32"/>
          <w:szCs w:val="32"/>
          <w:highlight w:val="none"/>
          <w:lang w:eastAsia="zh-CN"/>
        </w:rPr>
        <w:t>营商合作局</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科技创新局、</w:t>
      </w:r>
      <w:r>
        <w:rPr>
          <w:rFonts w:hint="eastAsia" w:ascii="仿宋_GB2312" w:hAnsi="仿宋_GB2312" w:eastAsia="仿宋_GB2312" w:cs="仿宋_GB2312"/>
          <w:sz w:val="32"/>
          <w:szCs w:val="32"/>
          <w:highlight w:val="none"/>
        </w:rPr>
        <w:t>市公安局大兴分局、社会事业局、</w:t>
      </w:r>
      <w:r>
        <w:rPr>
          <w:rFonts w:hint="eastAsia" w:ascii="仿宋_GB2312" w:hAnsi="仿宋_GB2312" w:eastAsia="仿宋_GB2312" w:cs="仿宋_GB2312"/>
          <w:sz w:val="32"/>
          <w:szCs w:val="32"/>
          <w:highlight w:val="none"/>
          <w:lang w:eastAsia="zh-CN"/>
        </w:rPr>
        <w:t>城市运行局</w:t>
      </w:r>
      <w:r>
        <w:rPr>
          <w:rFonts w:hint="eastAsia" w:ascii="仿宋_GB2312" w:hAnsi="仿宋_GB2312" w:eastAsia="仿宋_GB2312" w:cs="仿宋_GB2312"/>
          <w:sz w:val="32"/>
          <w:szCs w:val="32"/>
          <w:highlight w:val="none"/>
        </w:rPr>
        <w:t>等部门和事发地所属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组成。</w:t>
      </w:r>
    </w:p>
    <w:p w14:paraId="7CF594A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主要职责：承担突发环境事件现场应急处置综合协调工作；负责收集汇总事件进展情况；协助完成会议组织、资料管理等工作；承担指挥机构交办的其他任务。</w:t>
      </w:r>
    </w:p>
    <w:p w14:paraId="086F806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污染处置组</w:t>
      </w:r>
    </w:p>
    <w:p w14:paraId="745F945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由城市运行局牵头，</w:t>
      </w:r>
      <w:r>
        <w:rPr>
          <w:rFonts w:hint="eastAsia" w:ascii="仿宋_GB2312" w:hAnsi="仿宋_GB2312" w:cs="仿宋_GB2312"/>
          <w:sz w:val="32"/>
          <w:szCs w:val="32"/>
          <w:highlight w:val="none"/>
          <w:lang w:eastAsia="zh-CN"/>
        </w:rPr>
        <w:t>规自北京经济技术开发区分局</w:t>
      </w:r>
      <w:r>
        <w:rPr>
          <w:rFonts w:hint="eastAsia" w:ascii="仿宋_GB2312" w:hAnsi="仿宋_GB2312" w:eastAsia="仿宋_GB2312" w:cs="仿宋_GB2312"/>
          <w:sz w:val="32"/>
          <w:szCs w:val="32"/>
          <w:highlight w:val="none"/>
        </w:rPr>
        <w:t>、地区协同事务局、交通大队、消防救援支队和事发地所属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p>
    <w:p w14:paraId="5490611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负责组织技术研判和事态分析，提出应急处置方案；调配应急救援队伍、装备和物资，迅速组织切断污染源、分析污染途径、清除污染物，采取措施防止和减轻污染扩散；控制易燃易爆及有毒有害物质的泄露；在实施抢险救援过程中，做好消防退水导致次生环境污染的预防及处置工作；组织落实相关企业停、限产措施；明确不同情况下的现场处置人员须采取的个人防护措施；确定受威胁人员疏散的方式和途径；承担指挥机构交办的其他任务。</w:t>
      </w:r>
    </w:p>
    <w:p w14:paraId="5840EE8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应急监测组</w:t>
      </w:r>
    </w:p>
    <w:p w14:paraId="2C267F0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由城市运行局牵头，</w:t>
      </w:r>
      <w:r>
        <w:rPr>
          <w:rFonts w:hint="eastAsia" w:ascii="仿宋_GB2312" w:hAnsi="仿宋_GB2312" w:cs="仿宋_GB2312"/>
          <w:sz w:val="32"/>
          <w:szCs w:val="32"/>
          <w:highlight w:val="none"/>
          <w:lang w:eastAsia="zh-CN"/>
        </w:rPr>
        <w:t>规自北京经济技术开发区分局</w:t>
      </w:r>
      <w:r>
        <w:rPr>
          <w:rFonts w:hint="eastAsia" w:ascii="仿宋_GB2312" w:hAnsi="仿宋_GB2312" w:eastAsia="仿宋_GB2312" w:cs="仿宋_GB2312"/>
          <w:sz w:val="32"/>
          <w:szCs w:val="32"/>
          <w:highlight w:val="none"/>
        </w:rPr>
        <w:t>、地区协同事务局、社会事业局等部门和事发地所属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p>
    <w:p w14:paraId="695BA16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对可能受影响区域内的空气质量、敏感水体水质等进行快速监测，提出初步应对建议；根据现场情况明确相应的应急监测方案及监测方法，确定污染物扩散范围，明确监测的布点和频次；做好大气、水体、土壤等应急监测及数据汇总分析，为突发环境事件应急决策提供依据；承担</w:t>
      </w:r>
      <w:r>
        <w:rPr>
          <w:rFonts w:hint="eastAsia" w:ascii="仿宋_GB2312" w:hAnsi="仿宋_GB2312" w:eastAsia="仿宋_GB2312" w:cs="仿宋_GB2312"/>
          <w:sz w:val="32"/>
          <w:szCs w:val="32"/>
          <w:highlight w:val="none"/>
          <w:lang w:val="en-US" w:eastAsia="zh-CN"/>
        </w:rPr>
        <w:t>指挥机构</w:t>
      </w:r>
      <w:r>
        <w:rPr>
          <w:rFonts w:hint="eastAsia" w:ascii="仿宋_GB2312" w:hAnsi="仿宋_GB2312" w:eastAsia="仿宋_GB2312" w:cs="仿宋_GB2312"/>
          <w:sz w:val="32"/>
          <w:szCs w:val="32"/>
          <w:highlight w:val="none"/>
        </w:rPr>
        <w:t>交办的其他任务。</w:t>
      </w:r>
    </w:p>
    <w:p w14:paraId="7460657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 信息宣传组</w:t>
      </w:r>
    </w:p>
    <w:p w14:paraId="728AF25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由宣传文化部牵头，市公安局大兴分局、城市运行局等有关部门及事发地所属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p>
    <w:p w14:paraId="0CCAEDA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负责组织事件应急工作情况等权威信息发布，起草突发环境事件的新闻发布稿和情况公告；组织新闻媒体及时发布突发环境事件应急情况的信息；收集分析舆情和社会公众动态，加强媒体、电信和互联网管理，正确引导舆论；及时澄清不实信息，回应社会关切；承担指挥机构交办的其他任务。</w:t>
      </w:r>
    </w:p>
    <w:p w14:paraId="5EE8251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 医学救援组</w:t>
      </w:r>
    </w:p>
    <w:p w14:paraId="5A22281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由社会事业局牵头，城市运行局</w:t>
      </w:r>
      <w:r>
        <w:rPr>
          <w:rFonts w:hint="eastAsia" w:ascii="仿宋_GB2312" w:hAnsi="仿宋_GB2312" w:eastAsia="仿宋_GB2312" w:cs="仿宋_GB2312"/>
          <w:sz w:val="32"/>
          <w:szCs w:val="32"/>
          <w:highlight w:val="none"/>
          <w:lang w:eastAsia="zh-CN"/>
        </w:rPr>
        <w:t>、</w:t>
      </w:r>
      <w:r>
        <w:rPr>
          <w:rFonts w:hint="eastAsia" w:ascii="仿宋_GB2312" w:hAnsi="仿宋_GB2312" w:cs="仿宋_GB2312"/>
          <w:sz w:val="32"/>
          <w:szCs w:val="32"/>
          <w:highlight w:val="none"/>
          <w:lang w:val="en-US" w:eastAsia="zh-CN"/>
        </w:rPr>
        <w:t>商务金融局、</w:t>
      </w:r>
      <w:r>
        <w:rPr>
          <w:rFonts w:hint="eastAsia" w:ascii="仿宋_GB2312" w:hAnsi="仿宋_GB2312" w:eastAsia="仿宋_GB2312" w:cs="仿宋_GB2312"/>
          <w:sz w:val="32"/>
          <w:szCs w:val="32"/>
          <w:highlight w:val="none"/>
        </w:rPr>
        <w:t>消防救援支队等部门及事发地所属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p>
    <w:p w14:paraId="242B769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负责组织开展突发环境事件现场人员紧急救援，伤病员医疗救治、应急心理援助；指导和协助开展受污染人员的去污洗消工作；提出公众健康保护措施建议；禁止或限制受污染食品和饮用水的生产、加工、流通和食用，防范因突发环境事件造成集体中毒；承担指挥机构交办的其他任务。</w:t>
      </w:r>
    </w:p>
    <w:p w14:paraId="0BFAFE8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综合保障组</w:t>
      </w:r>
    </w:p>
    <w:p w14:paraId="55A0383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由事发所属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牵头，</w:t>
      </w:r>
      <w:r>
        <w:rPr>
          <w:rFonts w:hint="eastAsia" w:ascii="仿宋_GB2312" w:hAnsi="仿宋_GB2312" w:cs="仿宋_GB2312"/>
          <w:sz w:val="32"/>
          <w:szCs w:val="32"/>
          <w:highlight w:val="none"/>
          <w:lang w:eastAsia="zh-CN"/>
        </w:rPr>
        <w:t>营商合作局</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科技创新局、</w:t>
      </w:r>
      <w:r>
        <w:rPr>
          <w:rFonts w:hint="eastAsia" w:ascii="仿宋_GB2312" w:hAnsi="仿宋_GB2312" w:eastAsia="仿宋_GB2312" w:cs="仿宋_GB2312"/>
          <w:sz w:val="32"/>
          <w:szCs w:val="32"/>
          <w:highlight w:val="none"/>
        </w:rPr>
        <w:t>市公安局大兴分局、财政审计局、交通大队、商务金融局、</w:t>
      </w:r>
      <w:r>
        <w:rPr>
          <w:rFonts w:hint="eastAsia" w:ascii="仿宋_GB2312" w:hAnsi="仿宋_GB2312" w:eastAsia="仿宋_GB2312" w:cs="仿宋_GB2312"/>
          <w:sz w:val="32"/>
          <w:szCs w:val="32"/>
          <w:highlight w:val="none"/>
          <w:lang w:eastAsia="zh-CN"/>
        </w:rPr>
        <w:t>城市运行局</w:t>
      </w:r>
      <w:r>
        <w:rPr>
          <w:rFonts w:hint="eastAsia" w:ascii="仿宋_GB2312" w:hAnsi="仿宋_GB2312" w:eastAsia="仿宋_GB2312" w:cs="仿宋_GB2312"/>
          <w:sz w:val="32"/>
          <w:szCs w:val="32"/>
          <w:highlight w:val="none"/>
        </w:rPr>
        <w:t>等部门组成。</w:t>
      </w:r>
    </w:p>
    <w:p w14:paraId="45EEEAB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组织做好事件影响区域有关人员的疏散转移和临时安置工作；对受灾群众进行生活救助；组织做好应急救援物资保障以及临时安置重要物资的储备、调拨和配送工作；组织协调救援防护装备、监测设备和应急物资的生产供应保障；负责事件应对区级经费保障；为应急指挥提供通信保障；承担指挥机构交办的其他任务。</w:t>
      </w:r>
    </w:p>
    <w:p w14:paraId="463FA01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 xml:space="preserve"> 秩序管控组</w:t>
      </w:r>
    </w:p>
    <w:p w14:paraId="40D5A45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由市公安局大兴分局牵头，宣传文化部、平安建设办公室、商务金融局、城市运行局、交通大队等部门及事发地所属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组成。</w:t>
      </w:r>
    </w:p>
    <w:p w14:paraId="79D5133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落实事故现场治安警戒和交通管制，确定重点防控区域，加强转移人员安置点、救灾物资存放点等重点地区治安管控；严厉打击借机传播谣言、哄抢物资等违法犯罪行为；做好受影响人员与涉事单位、地方人民政府及有关部门矛盾纠纷化解，维护社会稳定；加强对重要生活必需品等商品的市场监管和调控；承担指挥机构交办的其他任务。</w:t>
      </w:r>
    </w:p>
    <w:p w14:paraId="43216CC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现场调查组</w:t>
      </w:r>
    </w:p>
    <w:p w14:paraId="7DEAC98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由城市运行局牵头，市公安局大兴分局、</w:t>
      </w:r>
      <w:r>
        <w:rPr>
          <w:rFonts w:hint="eastAsia" w:ascii="仿宋_GB2312" w:hAnsi="仿宋_GB2312" w:cs="仿宋_GB2312"/>
          <w:sz w:val="32"/>
          <w:szCs w:val="32"/>
          <w:highlight w:val="none"/>
          <w:lang w:eastAsia="zh-CN"/>
        </w:rPr>
        <w:t>规自北京经济技术开发区分局</w:t>
      </w:r>
      <w:r>
        <w:rPr>
          <w:rFonts w:hint="eastAsia" w:ascii="仿宋_GB2312" w:hAnsi="仿宋_GB2312" w:eastAsia="仿宋_GB2312" w:cs="仿宋_GB2312"/>
          <w:sz w:val="32"/>
          <w:szCs w:val="32"/>
          <w:highlight w:val="none"/>
        </w:rPr>
        <w:t>、交通大队、城市运行局、地区协同事务局、</w:t>
      </w:r>
      <w:r>
        <w:rPr>
          <w:rFonts w:hint="eastAsia" w:ascii="仿宋_GB2312" w:hAnsi="仿宋_GB2312" w:eastAsia="仿宋_GB2312" w:cs="仿宋_GB2312"/>
          <w:sz w:val="32"/>
          <w:szCs w:val="32"/>
          <w:highlight w:val="none"/>
          <w:lang w:eastAsia="zh-CN"/>
        </w:rPr>
        <w:t>城市运行局</w:t>
      </w:r>
      <w:r>
        <w:rPr>
          <w:rFonts w:hint="eastAsia" w:ascii="仿宋_GB2312" w:hAnsi="仿宋_GB2312" w:eastAsia="仿宋_GB2312" w:cs="仿宋_GB2312"/>
          <w:sz w:val="32"/>
          <w:szCs w:val="32"/>
          <w:highlight w:val="none"/>
        </w:rPr>
        <w:t>、消防救援支队、城市运行局等部门和事发地所属</w:t>
      </w:r>
      <w:r>
        <w:rPr>
          <w:rFonts w:hint="eastAsia" w:ascii="仿宋_GB2312" w:hAnsi="仿宋_GB2312" w:cs="仿宋_GB2312"/>
          <w:sz w:val="32"/>
          <w:szCs w:val="32"/>
          <w:highlight w:val="none"/>
          <w:lang w:eastAsia="zh-CN"/>
        </w:rPr>
        <w:t>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（镇</w:t>
      </w:r>
      <w:r>
        <w:rPr>
          <w:rFonts w:hint="eastAsia" w:ascii="仿宋_GB2312" w:hAnsi="仿宋_GB2312" w:cs="仿宋_GB2312"/>
          <w:sz w:val="32"/>
          <w:szCs w:val="32"/>
          <w:highlight w:val="none"/>
          <w:lang w:val="en-US" w:eastAsia="zh-CN"/>
        </w:rPr>
        <w:t>政府</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p>
    <w:p w14:paraId="209EBCE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调查分析突发环境事故的起因、造成影响及初步损失情况；调查事故周边环境敏感点、受影响的环境要素及功能区划；组织开展对突发环境事件的污染物种类、性质以及当地气象、自然、社会环境状况等的调查；记录事故应急处置过程；承担指挥机构交办的其他任务。</w:t>
      </w:r>
    </w:p>
    <w:p w14:paraId="7AF8419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 专家技术组</w:t>
      </w:r>
    </w:p>
    <w:p w14:paraId="31A7E29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城市运行局牵头，会同有关部门组织环境监测、人员防护、化学工程、危险化学品、辐射防护、污染控制、环境评估、生态保护、水利水文、给水排水、地质、气象、大气环境、环境医学、防化等专业专家组成。</w:t>
      </w:r>
    </w:p>
    <w:p w14:paraId="0143725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责：专家组负责参与指导突发环境事件的应急处置工作；参与污染源、污染物性质、污染范围、危害程度的快速确定工作，研究、评估污染处置、人员撤离等工作方案；为区环境应急协调小组提供分析评估、决策咨询和处置意见；承担指挥机构交办的其他任务。</w:t>
      </w:r>
    </w:p>
    <w:p w14:paraId="4A41DE01">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101" w:name="_Toc31609"/>
      <w:r>
        <w:rPr>
          <w:rFonts w:hint="eastAsia" w:ascii="楷体_GB2312" w:hAnsi="楷体_GB2312" w:eastAsia="楷体_GB2312" w:cs="楷体_GB2312"/>
          <w:b w:val="0"/>
          <w:bCs/>
          <w:snapToGrid w:val="0"/>
          <w:color w:val="000000"/>
          <w:kern w:val="0"/>
          <w:sz w:val="32"/>
          <w:szCs w:val="32"/>
          <w:highlight w:val="none"/>
          <w:lang w:val="en-US" w:eastAsia="zh-CN" w:bidi="ar-SA"/>
        </w:rPr>
        <w:t>2.5 街道（镇）工作机构</w:t>
      </w:r>
      <w:bookmarkEnd w:id="101"/>
    </w:p>
    <w:p w14:paraId="12E5B01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各街道</w:t>
      </w:r>
      <w:r>
        <w:rPr>
          <w:rFonts w:hint="eastAsia" w:ascii="仿宋_GB2312" w:hAnsi="仿宋_GB2312" w:cs="仿宋_GB2312"/>
          <w:sz w:val="32"/>
          <w:szCs w:val="32"/>
          <w:highlight w:val="none"/>
          <w:lang w:val="en-US" w:eastAsia="zh-CN"/>
        </w:rPr>
        <w:t>办事处</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镇政府）</w:t>
      </w:r>
      <w:r>
        <w:rPr>
          <w:rFonts w:hint="eastAsia" w:ascii="仿宋_GB2312" w:hAnsi="仿宋_GB2312" w:eastAsia="仿宋_GB2312" w:cs="仿宋_GB2312"/>
          <w:sz w:val="32"/>
          <w:szCs w:val="32"/>
          <w:highlight w:val="none"/>
        </w:rPr>
        <w:t>应明确应对突发环境事件的职责部门，建立“发现-报告-处置”的响应机制，参与突发环境事件的应急准备、应急演练、先期处置和事后恢复等工作。</w:t>
      </w:r>
    </w:p>
    <w:p w14:paraId="4D64E9E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主要职责包括</w:t>
      </w:r>
      <w:r>
        <w:rPr>
          <w:rFonts w:hint="eastAsia" w:ascii="仿宋_GB2312" w:hAnsi="仿宋_GB2312" w:eastAsia="仿宋_GB2312" w:cs="仿宋_GB2312"/>
          <w:sz w:val="32"/>
          <w:szCs w:val="32"/>
          <w:highlight w:val="none"/>
          <w:lang w:val="en-US" w:eastAsia="zh-CN"/>
        </w:rPr>
        <w:t>编制、</w:t>
      </w:r>
      <w:r>
        <w:rPr>
          <w:rFonts w:hint="eastAsia" w:ascii="仿宋_GB2312" w:hAnsi="仿宋_GB2312" w:eastAsia="仿宋_GB2312" w:cs="仿宋_GB2312"/>
          <w:sz w:val="32"/>
          <w:szCs w:val="32"/>
          <w:highlight w:val="none"/>
        </w:rPr>
        <w:t>管理本级突发环境事件应急预案，并向</w:t>
      </w:r>
      <w:r>
        <w:rPr>
          <w:rFonts w:hint="eastAsia" w:ascii="仿宋_GB2312" w:hAnsi="仿宋_GB2312" w:eastAsia="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rPr>
        <w:t>备案，按照规定向社会公布；开展突发环境事件应对法律、法规和应急知识的宣传教育，组织开展应急演练，指导辖区内其他基层组织和单位开展应急管理工作；组织建立应急救援队伍；组织储备、配备必要的应急物资；获悉发生或可能发生突发环境</w:t>
      </w:r>
      <w:r>
        <w:rPr>
          <w:rFonts w:hint="eastAsia" w:ascii="仿宋_GB2312" w:hAnsi="仿宋_GB2312" w:eastAsia="仿宋_GB2312" w:cs="仿宋_GB2312"/>
          <w:sz w:val="32"/>
          <w:szCs w:val="32"/>
          <w:highlight w:val="none"/>
          <w:lang w:val="en-US" w:eastAsia="zh-CN"/>
        </w:rPr>
        <w:t>事件</w:t>
      </w:r>
      <w:r>
        <w:rPr>
          <w:rFonts w:hint="eastAsia" w:ascii="仿宋_GB2312" w:hAnsi="仿宋_GB2312" w:eastAsia="仿宋_GB2312" w:cs="仿宋_GB2312"/>
          <w:sz w:val="32"/>
          <w:szCs w:val="32"/>
          <w:highlight w:val="none"/>
        </w:rPr>
        <w:t>后，向</w:t>
      </w:r>
      <w:r>
        <w:rPr>
          <w:rFonts w:hint="eastAsia" w:ascii="仿宋_GB2312" w:hAnsi="仿宋_GB2312" w:eastAsia="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rPr>
        <w:t>报告；组织群众转移疏散，指挥、安排单位和居民开展自救互救，采取措施控制事态发展，做好专业应急救援队伍引导等工作，向管委会报告事件情况</w:t>
      </w:r>
      <w:r>
        <w:rPr>
          <w:rFonts w:hint="eastAsia" w:ascii="仿宋_GB2312" w:hAnsi="仿宋_GB2312" w:eastAsia="仿宋_GB2312" w:cs="仿宋_GB2312"/>
          <w:sz w:val="32"/>
          <w:szCs w:val="32"/>
          <w:highlight w:val="none"/>
          <w:lang w:eastAsia="zh-CN"/>
        </w:rPr>
        <w:t>。</w:t>
      </w:r>
    </w:p>
    <w:p w14:paraId="156C04C3">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102" w:name="_Toc9133"/>
      <w:bookmarkStart w:id="103" w:name="_Toc19228"/>
      <w:bookmarkStart w:id="104" w:name="_Toc9207"/>
      <w:bookmarkStart w:id="105" w:name="_Toc7560"/>
      <w:bookmarkStart w:id="106" w:name="_Toc28686"/>
      <w:bookmarkStart w:id="107" w:name="_Toc9923"/>
      <w:bookmarkStart w:id="108" w:name="_Toc22020"/>
      <w:bookmarkStart w:id="109" w:name="_Toc1623128151"/>
      <w:bookmarkStart w:id="110" w:name="_Toc1589237698"/>
      <w:bookmarkStart w:id="111" w:name="_Toc17557"/>
      <w:bookmarkStart w:id="112" w:name="_Toc7282"/>
      <w:bookmarkStart w:id="113" w:name="_Toc20476"/>
      <w:bookmarkStart w:id="114" w:name="_Toc17177"/>
      <w:r>
        <w:rPr>
          <w:rFonts w:hint="eastAsia" w:ascii="黑体" w:hAnsi="黑体" w:eastAsia="黑体" w:cs="黑体"/>
          <w:b w:val="0"/>
          <w:bCs w:val="0"/>
          <w:snapToGrid/>
          <w:color w:val="auto"/>
          <w:sz w:val="32"/>
          <w:szCs w:val="44"/>
          <w:highlight w:val="none"/>
        </w:rPr>
        <w:t>3 监测与预警</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75121FE3">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115" w:name="_Toc30728"/>
      <w:bookmarkStart w:id="116" w:name="_Toc32098"/>
      <w:bookmarkStart w:id="117" w:name="_Toc24515"/>
      <w:bookmarkStart w:id="118" w:name="_Toc20007"/>
      <w:bookmarkStart w:id="119" w:name="_Toc16112"/>
      <w:bookmarkStart w:id="120" w:name="_Toc26065"/>
      <w:bookmarkStart w:id="121" w:name="_Toc17629"/>
      <w:bookmarkStart w:id="122" w:name="_Toc15443"/>
      <w:bookmarkStart w:id="123" w:name="_Toc2063872547"/>
      <w:bookmarkStart w:id="124" w:name="_Toc2249"/>
      <w:bookmarkStart w:id="125" w:name="_Toc430066016"/>
      <w:bookmarkStart w:id="126" w:name="_Toc3464"/>
      <w:bookmarkStart w:id="127" w:name="_Toc7259"/>
      <w:r>
        <w:rPr>
          <w:rFonts w:hint="eastAsia" w:ascii="楷体_GB2312" w:hAnsi="楷体_GB2312" w:eastAsia="楷体_GB2312" w:cs="楷体_GB2312"/>
          <w:b w:val="0"/>
          <w:bCs/>
          <w:snapToGrid w:val="0"/>
          <w:color w:val="000000"/>
          <w:kern w:val="0"/>
          <w:sz w:val="32"/>
          <w:szCs w:val="32"/>
          <w:highlight w:val="none"/>
          <w:lang w:val="en-US" w:eastAsia="zh-CN" w:bidi="ar-SA"/>
        </w:rPr>
        <w:t>3.1 监测</w:t>
      </w:r>
      <w:bookmarkEnd w:id="115"/>
      <w:bookmarkEnd w:id="116"/>
      <w:bookmarkEnd w:id="117"/>
      <w:r>
        <w:rPr>
          <w:rFonts w:hint="eastAsia" w:ascii="楷体_GB2312" w:hAnsi="楷体_GB2312" w:eastAsia="楷体_GB2312" w:cs="楷体_GB2312"/>
          <w:b w:val="0"/>
          <w:bCs/>
          <w:snapToGrid w:val="0"/>
          <w:color w:val="000000"/>
          <w:kern w:val="0"/>
          <w:sz w:val="32"/>
          <w:szCs w:val="32"/>
          <w:highlight w:val="none"/>
          <w:lang w:val="en-US" w:eastAsia="zh-CN" w:bidi="ar-SA"/>
        </w:rPr>
        <w:t>与风险防控</w:t>
      </w:r>
      <w:bookmarkEnd w:id="118"/>
      <w:bookmarkEnd w:id="119"/>
      <w:bookmarkEnd w:id="120"/>
      <w:bookmarkEnd w:id="121"/>
      <w:bookmarkEnd w:id="122"/>
      <w:bookmarkEnd w:id="123"/>
      <w:bookmarkEnd w:id="124"/>
      <w:bookmarkEnd w:id="125"/>
      <w:bookmarkEnd w:id="126"/>
      <w:bookmarkEnd w:id="127"/>
    </w:p>
    <w:p w14:paraId="3632F96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3.1.1 </w:t>
      </w:r>
      <w:r>
        <w:rPr>
          <w:rFonts w:hint="eastAsia" w:ascii="仿宋_GB2312" w:hAnsi="仿宋_GB2312" w:eastAsia="仿宋_GB2312" w:cs="仿宋_GB2312"/>
          <w:sz w:val="32"/>
          <w:szCs w:val="32"/>
          <w:highlight w:val="none"/>
          <w:lang w:val="en-US" w:eastAsia="zh-CN"/>
        </w:rPr>
        <w:t>区环境应急协调小组</w:t>
      </w:r>
      <w:r>
        <w:rPr>
          <w:rFonts w:hint="eastAsia" w:ascii="仿宋_GB2312" w:hAnsi="仿宋_GB2312" w:eastAsia="仿宋_GB2312" w:cs="仿宋_GB2312"/>
          <w:sz w:val="32"/>
          <w:szCs w:val="32"/>
          <w:highlight w:val="none"/>
        </w:rPr>
        <w:t>应建立健全突发环境事件风险管理体系，健全隐患排查工作机制，实行分级分类管理。</w:t>
      </w:r>
    </w:p>
    <w:p w14:paraId="23292A1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3.1.2 </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rPr>
        <w:t>要督促企业落实环境安全主体责任，公安、规自、住建、交通、水务、农业、卫生健康、应急、气象等部门应做好环境风险防范工作，降低突发环境事件风险。</w:t>
      </w:r>
    </w:p>
    <w:p w14:paraId="352D37B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3.1.3 各部门按照职责分工，加强对本辖区、本行业、本领域可能引起突发环境事件信息的监测，加强信息收集、分析和研判，及时将信息通报</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rPr>
        <w:t>。</w:t>
      </w:r>
    </w:p>
    <w:p w14:paraId="685D333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3.1.4 企业事业单位和其他生产经营者应根据生态环境保护法律法规要求，开展突发环境事件风险评估，完善风险防控措施，排查治理环境安全隐患，制定突发环境事件应急预案并备案、演练，加强环境应急监测及应急能力建设，当出现可能导致突发环境事件的情况时，要依法立即报告</w:t>
      </w:r>
      <w:r>
        <w:rPr>
          <w:rFonts w:hint="eastAsia" w:ascii="仿宋_GB2312" w:hAnsi="仿宋_GB2312" w:cs="仿宋_GB2312"/>
          <w:sz w:val="32"/>
          <w:szCs w:val="32"/>
          <w:highlight w:val="none"/>
          <w:lang w:eastAsia="zh-CN"/>
        </w:rPr>
        <w:t>城市运行局</w:t>
      </w:r>
      <w:r>
        <w:rPr>
          <w:rFonts w:hint="eastAsia" w:ascii="仿宋_GB2312" w:hAnsi="仿宋_GB2312" w:eastAsia="仿宋_GB2312" w:cs="仿宋_GB2312"/>
          <w:sz w:val="32"/>
          <w:szCs w:val="32"/>
          <w:highlight w:val="none"/>
        </w:rPr>
        <w:t>。</w:t>
      </w:r>
    </w:p>
    <w:p w14:paraId="60097671">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128" w:name="_Toc14704"/>
      <w:bookmarkStart w:id="129" w:name="_Toc1350031085"/>
      <w:bookmarkStart w:id="130" w:name="_Toc8470"/>
      <w:bookmarkStart w:id="131" w:name="_Toc26156"/>
      <w:bookmarkStart w:id="132" w:name="_Toc1837058757"/>
      <w:bookmarkStart w:id="133" w:name="_Toc19275"/>
      <w:bookmarkStart w:id="134" w:name="_Toc22632"/>
      <w:bookmarkStart w:id="135" w:name="_Toc9422"/>
      <w:bookmarkStart w:id="136" w:name="_Toc12539"/>
      <w:bookmarkStart w:id="137" w:name="_Toc9712"/>
      <w:bookmarkStart w:id="138" w:name="_Toc4348"/>
      <w:bookmarkStart w:id="139" w:name="_Toc22742"/>
      <w:bookmarkStart w:id="140" w:name="_Toc20487"/>
      <w:r>
        <w:rPr>
          <w:rFonts w:hint="eastAsia" w:ascii="楷体_GB2312" w:hAnsi="楷体_GB2312" w:eastAsia="楷体_GB2312" w:cs="楷体_GB2312"/>
          <w:b w:val="0"/>
          <w:bCs/>
          <w:snapToGrid w:val="0"/>
          <w:color w:val="000000"/>
          <w:kern w:val="0"/>
          <w:sz w:val="32"/>
          <w:szCs w:val="32"/>
          <w:highlight w:val="none"/>
          <w:lang w:val="en-US" w:eastAsia="zh-CN" w:bidi="ar-SA"/>
        </w:rPr>
        <w:t>3.2 预警</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BC02EE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按照“早预防、早发现、早报告、早处置”的原则及突发环境事件等级、发展趋势、危害程度，及时发布预警或提出相应的预警建议，组织实施相应的预警响应。</w:t>
      </w:r>
    </w:p>
    <w:p w14:paraId="2C726DE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141" w:name="_Toc1807715040"/>
      <w:bookmarkStart w:id="142" w:name="_Toc24308"/>
      <w:bookmarkStart w:id="143" w:name="_Toc9698"/>
      <w:bookmarkStart w:id="144" w:name="_Toc31069"/>
      <w:bookmarkStart w:id="145" w:name="_Toc6776"/>
      <w:bookmarkStart w:id="146" w:name="_Toc25042"/>
      <w:bookmarkStart w:id="147" w:name="_Toc1074135980"/>
      <w:bookmarkStart w:id="148" w:name="_Toc25998"/>
      <w:bookmarkStart w:id="149" w:name="_Toc16108"/>
      <w:bookmarkStart w:id="150" w:name="_Toc21546"/>
      <w:bookmarkStart w:id="151" w:name="_Toc31428"/>
      <w:bookmarkStart w:id="152" w:name="_Toc29789"/>
      <w:bookmarkStart w:id="153" w:name="_Toc13859"/>
      <w:bookmarkStart w:id="154" w:name="_Toc21284"/>
      <w:bookmarkStart w:id="155" w:name="_Toc20900"/>
      <w:bookmarkStart w:id="156" w:name="_Toc6698"/>
      <w:bookmarkStart w:id="157" w:name="_Toc9004"/>
      <w:r>
        <w:rPr>
          <w:rFonts w:hint="eastAsia" w:ascii="仿宋_GB2312" w:hAnsi="仿宋_GB2312" w:eastAsia="仿宋_GB2312" w:cs="仿宋_GB2312"/>
          <w:sz w:val="32"/>
          <w:szCs w:val="32"/>
          <w:highlight w:val="none"/>
          <w:lang w:val="en-US" w:eastAsia="zh-CN"/>
        </w:rPr>
        <w:t>3.2.1 预警分级</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C474DD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根据突发环境事件可能造成的危害程度、发展情况和紧迫性等因素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预警</w:t>
      </w:r>
      <w:r>
        <w:rPr>
          <w:rFonts w:hint="eastAsia" w:ascii="仿宋_GB2312" w:hAnsi="仿宋_GB2312" w:eastAsia="仿宋_GB2312" w:cs="仿宋_GB2312"/>
          <w:sz w:val="32"/>
          <w:szCs w:val="32"/>
          <w:highlight w:val="none"/>
        </w:rPr>
        <w:t>分为一级、二级、三级、四级，依次采用红色、橙色、黄色、蓝色标示。预计可能发生一般突发环境事件的发布蓝色（四级）预警；预计可能发生较大突发环境事件的发布黄色（三级）预警；预计可能发生重大突发环境事件的发布橙色（二级）预警；预计可能发生特别重大突发环境事件的发布红色（一级）预警。生态环境部对预警分级标准作出明确规定的，从其规定。</w:t>
      </w:r>
    </w:p>
    <w:p w14:paraId="639EB87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158" w:name="_Toc7200"/>
      <w:bookmarkStart w:id="159" w:name="_Toc1815523171"/>
      <w:bookmarkStart w:id="160" w:name="_Toc21416"/>
      <w:bookmarkStart w:id="161" w:name="_Toc979"/>
      <w:bookmarkStart w:id="162" w:name="_Toc22170"/>
      <w:bookmarkStart w:id="163" w:name="_Toc1808"/>
      <w:bookmarkStart w:id="164" w:name="_Toc18067"/>
      <w:bookmarkStart w:id="165" w:name="_Toc1469"/>
      <w:bookmarkStart w:id="166" w:name="_Toc27488"/>
      <w:bookmarkStart w:id="167" w:name="_Toc32730"/>
      <w:bookmarkStart w:id="168" w:name="_Toc6387"/>
      <w:bookmarkStart w:id="169" w:name="_Toc9165"/>
      <w:bookmarkStart w:id="170" w:name="_Toc1255879178"/>
      <w:bookmarkStart w:id="171" w:name="_Toc9024"/>
      <w:bookmarkStart w:id="172" w:name="_Toc11959"/>
      <w:bookmarkStart w:id="173" w:name="_Toc24817"/>
      <w:bookmarkStart w:id="174" w:name="_Toc482690300"/>
      <w:bookmarkStart w:id="175" w:name="_Toc21590"/>
      <w:r>
        <w:rPr>
          <w:rFonts w:hint="eastAsia" w:ascii="仿宋_GB2312" w:hAnsi="仿宋_GB2312" w:eastAsia="仿宋_GB2312" w:cs="仿宋_GB2312"/>
          <w:sz w:val="32"/>
          <w:szCs w:val="32"/>
          <w:highlight w:val="none"/>
          <w:lang w:val="en-US" w:eastAsia="zh-CN"/>
        </w:rPr>
        <w:t>3.2.2 预警发布、调整和解除</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9C2A5E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警按照“谁发布、谁解除”的原则。蓝色预警由区环境应急协调小组办公室提出并经管委会分管领导批准，由安全应急委办公室统一发布和解除，同时抄送市应急办和市环境应急协调小组办公室，市环境应急协调小组办公室也可根据需要发布和解除。对于可能影响本区以外其他地区的黄色、橙色、红色预警信息，安全应急委办公室及时上报市应急办，并向可能受到危害的相关地区通报。黄色、橙色、红色预警由市级部门依程序发布和解除。</w:t>
      </w:r>
    </w:p>
    <w:p w14:paraId="0B095B7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对于需要向公众发布的预警信息，由管委会及相关部门履行审批程序，并按规定统一对外发布。对于仅在生态环境领域内部发布的警示性信息，由城市运行局在本系统、本单位及可能受影响范围内自行发布。其他组织和个人不得擅自对外发布预警信息。</w:t>
      </w:r>
    </w:p>
    <w:p w14:paraId="053795B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（3）区环境应急协调小组办公室应当密切关注事件进展情况，遇预警级别升级情况时，及时上报市级相关部门，并通报经开区相关部门。</w:t>
      </w:r>
    </w:p>
    <w:p w14:paraId="4466D15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预警信息可通过电视、广播、互联网、手机短信、微信公众号、微博等公共媒体方式发布。预警信息包括突发环境事件类别、预警级别、起始时间、预计持续时间、可能影响范围、警示事项、应采取的措施、发布单位和发布时间等。</w:t>
      </w:r>
    </w:p>
    <w:p w14:paraId="177DA3E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（5）当确定突发环境事件不可能发生或危险已经消除的，预警信息发布单位应立即按程序解除预警，适时结束相关措施。</w:t>
      </w:r>
      <w:bookmarkStart w:id="176" w:name="_Toc6049"/>
      <w:bookmarkStart w:id="177" w:name="_Toc25530"/>
      <w:bookmarkStart w:id="178" w:name="_Toc18712"/>
      <w:bookmarkStart w:id="179" w:name="_Toc14896"/>
      <w:bookmarkStart w:id="180" w:name="_Toc23491"/>
      <w:bookmarkStart w:id="181" w:name="_Toc241937603"/>
      <w:bookmarkStart w:id="182" w:name="_Toc278362067"/>
      <w:bookmarkStart w:id="183" w:name="_Toc241937651"/>
      <w:bookmarkStart w:id="184" w:name="_Toc28239"/>
      <w:bookmarkStart w:id="185" w:name="_Toc2050278421"/>
      <w:bookmarkStart w:id="186" w:name="_Toc30523"/>
      <w:bookmarkStart w:id="187" w:name="_Toc2092061930"/>
    </w:p>
    <w:p w14:paraId="20D7C0D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188" w:name="_Toc16905"/>
      <w:bookmarkStart w:id="189" w:name="_Toc10234"/>
      <w:bookmarkStart w:id="190" w:name="_Toc4129"/>
      <w:bookmarkStart w:id="191" w:name="_Toc22324"/>
      <w:bookmarkStart w:id="192" w:name="_Toc13338"/>
      <w:bookmarkStart w:id="193" w:name="_Toc18401"/>
      <w:bookmarkStart w:id="194" w:name="_Toc12209"/>
      <w:bookmarkStart w:id="195" w:name="_Toc31432"/>
      <w:r>
        <w:rPr>
          <w:rFonts w:hint="eastAsia" w:ascii="仿宋_GB2312" w:hAnsi="仿宋_GB2312" w:eastAsia="仿宋_GB2312" w:cs="仿宋_GB2312"/>
          <w:sz w:val="32"/>
          <w:szCs w:val="32"/>
          <w:highlight w:val="none"/>
          <w:lang w:val="en-US" w:eastAsia="zh-CN"/>
        </w:rPr>
        <w:t>3.2.3 预警响应</w:t>
      </w:r>
      <w:bookmarkEnd w:id="176"/>
      <w:bookmarkEnd w:id="177"/>
      <w:bookmarkEnd w:id="178"/>
      <w:bookmarkEnd w:id="179"/>
      <w:bookmarkEnd w:id="188"/>
      <w:bookmarkEnd w:id="189"/>
      <w:bookmarkEnd w:id="190"/>
      <w:bookmarkEnd w:id="191"/>
      <w:bookmarkEnd w:id="192"/>
      <w:bookmarkEnd w:id="193"/>
      <w:bookmarkEnd w:id="194"/>
      <w:bookmarkEnd w:id="195"/>
    </w:p>
    <w:p w14:paraId="004CD41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（1）发布蓝色预警后，区环境应急协调小组、事发地</w:t>
      </w:r>
      <w:r>
        <w:rPr>
          <w:rFonts w:hint="eastAsia" w:ascii="仿宋_GB2312" w:hAnsi="仿宋_GB2312" w:cs="仿宋_GB2312"/>
          <w:sz w:val="32"/>
          <w:szCs w:val="32"/>
          <w:highlight w:val="none"/>
          <w:lang w:val="en-US" w:eastAsia="zh-CN"/>
        </w:rPr>
        <w:t>街道</w:t>
      </w:r>
      <w:r>
        <w:rPr>
          <w:rFonts w:hint="eastAsia" w:ascii="仿宋_GB2312" w:hAnsi="仿宋_GB2312" w:eastAsia="仿宋_GB2312" w:cs="仿宋_GB2312"/>
          <w:sz w:val="32"/>
          <w:szCs w:val="32"/>
          <w:highlight w:val="none"/>
          <w:lang w:val="en-US" w:eastAsia="zh-CN"/>
        </w:rPr>
        <w:t>办事处</w:t>
      </w:r>
      <w:r>
        <w:rPr>
          <w:rFonts w:hint="eastAsia" w:ascii="仿宋_GB2312" w:hAnsi="仿宋_GB2312" w:cs="仿宋_GB2312"/>
          <w:sz w:val="32"/>
          <w:szCs w:val="32"/>
          <w:highlight w:val="none"/>
          <w:lang w:val="en-US" w:eastAsia="zh-CN"/>
        </w:rPr>
        <w:t>（镇政府）</w:t>
      </w:r>
      <w:r>
        <w:rPr>
          <w:rFonts w:hint="eastAsia" w:ascii="仿宋_GB2312" w:hAnsi="仿宋_GB2312" w:eastAsia="仿宋_GB2312" w:cs="仿宋_GB2312"/>
          <w:sz w:val="32"/>
          <w:szCs w:val="32"/>
          <w:highlight w:val="none"/>
          <w:lang w:val="en-US" w:eastAsia="zh-CN"/>
        </w:rPr>
        <w:t>及相关部门应采取以下措施：</w:t>
      </w:r>
    </w:p>
    <w:p w14:paraId="64C0CA9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要求有关部门及时收集、报告有关信息，向社会公布反映环境污染信息的渠道，加强对突发环境事件发生、发展情况的监测、预报和预警工作。</w:t>
      </w:r>
    </w:p>
    <w:p w14:paraId="71C15D4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组织有关部门和机构、专业技术人员及专家，随时对突发事件信息进行分析评估，预测突发环境事件发生可能性的大小、影响范围和强度以及可能发生的突发环境事件的级别。</w:t>
      </w:r>
    </w:p>
    <w:p w14:paraId="3C7AC09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求应急救援队伍、负有特定职责的人员进入待命状态，调集突发环境事件应急救援所需物资和设备，做好应急保障工作。转移、撤离或疏散可能受到危害影响的人员，并进行妥善安置。及时向社会发布与公众有关的突发环境事件预测信息和分析评估结果，并对相关信息的报道工作进行管理。</w:t>
      </w:r>
    </w:p>
    <w:p w14:paraId="33F462F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及时按照有关规定向社会发布可能受到突发环境事件危害的警告，宣传避免和减轻危害的常识，公布咨询电话。</w:t>
      </w:r>
    </w:p>
    <w:p w14:paraId="24459E2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（2）收到黄色、橙色、红色预警后，除采取上述措施外，同时按市级部门要求做好应对相关工作。</w:t>
      </w:r>
    </w:p>
    <w:p w14:paraId="0B01BA1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要求各应急救援队伍和应急指挥人员进入应急状态，并动员后备人员做好参加应急救援和处置工作的准备；环境监测人员立即开展应急监测，随时掌握并报告事态进展情况。</w:t>
      </w:r>
    </w:p>
    <w:p w14:paraId="4B41EB8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排放污染物可能导致事件发生的有关企业事业单位实行停运、限产、停产等相应措施，封闭、隔离或限制使用有关场所，控制或限制容易导致危害扩大的行为或活动；对可能导致突发环境事件发生的相关企业事业单位和其他生产经营者加强环境监管。</w:t>
      </w:r>
      <w:bookmarkEnd w:id="180"/>
      <w:bookmarkEnd w:id="181"/>
      <w:bookmarkEnd w:id="182"/>
      <w:bookmarkEnd w:id="183"/>
      <w:bookmarkEnd w:id="184"/>
      <w:bookmarkEnd w:id="185"/>
      <w:bookmarkEnd w:id="186"/>
      <w:bookmarkEnd w:id="187"/>
      <w:bookmarkStart w:id="196" w:name="_Toc1909604691"/>
      <w:bookmarkStart w:id="197" w:name="_Toc19236"/>
      <w:bookmarkStart w:id="198" w:name="_Toc9813"/>
      <w:bookmarkStart w:id="199" w:name="_Toc28650"/>
      <w:bookmarkStart w:id="200" w:name="_Toc26178"/>
      <w:bookmarkStart w:id="201" w:name="_Toc7775"/>
      <w:bookmarkStart w:id="202" w:name="_Toc1367"/>
      <w:bookmarkStart w:id="203" w:name="_Toc1437983074"/>
      <w:bookmarkStart w:id="204" w:name="_Toc28213"/>
      <w:bookmarkStart w:id="205" w:name="_Toc25627"/>
      <w:bookmarkStart w:id="206" w:name="_Toc21287"/>
      <w:bookmarkStart w:id="207" w:name="_Toc17305"/>
      <w:bookmarkStart w:id="208" w:name="_Toc19278"/>
    </w:p>
    <w:p w14:paraId="5A838CC4">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r>
        <w:rPr>
          <w:rFonts w:hint="eastAsia" w:ascii="黑体" w:hAnsi="黑体" w:eastAsia="黑体" w:cs="黑体"/>
          <w:b w:val="0"/>
          <w:bCs w:val="0"/>
          <w:snapToGrid/>
          <w:color w:val="auto"/>
          <w:sz w:val="32"/>
          <w:szCs w:val="44"/>
          <w:highlight w:val="none"/>
        </w:rPr>
        <w:t>4 应急响应与处置</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1B4D77C1">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09" w:name="_Toc400561380"/>
      <w:bookmarkStart w:id="210" w:name="_Toc25892"/>
      <w:bookmarkStart w:id="211" w:name="_Toc12234"/>
      <w:bookmarkStart w:id="212" w:name="_Toc9107"/>
      <w:bookmarkStart w:id="213" w:name="_Toc30450"/>
      <w:bookmarkStart w:id="214" w:name="_Toc8549"/>
      <w:bookmarkStart w:id="215" w:name="_Toc3941"/>
      <w:bookmarkStart w:id="216" w:name="_Toc582937222"/>
      <w:bookmarkStart w:id="217" w:name="_Toc8077"/>
      <w:bookmarkStart w:id="218" w:name="_Toc4221"/>
      <w:bookmarkStart w:id="219" w:name="_Toc26741"/>
      <w:bookmarkStart w:id="220" w:name="_Toc4497"/>
      <w:bookmarkStart w:id="221" w:name="_Toc5803"/>
      <w:bookmarkStart w:id="222" w:name="_Toc468095378"/>
      <w:r>
        <w:rPr>
          <w:rFonts w:hint="eastAsia" w:ascii="楷体_GB2312" w:hAnsi="楷体_GB2312" w:eastAsia="楷体_GB2312" w:cs="楷体_GB2312"/>
          <w:b w:val="0"/>
          <w:bCs/>
          <w:snapToGrid w:val="0"/>
          <w:color w:val="000000"/>
          <w:kern w:val="0"/>
          <w:sz w:val="32"/>
          <w:szCs w:val="32"/>
          <w:highlight w:val="none"/>
          <w:lang w:val="en-US" w:eastAsia="zh-CN" w:bidi="ar-SA"/>
        </w:rPr>
        <w:t>4.1 先期处置</w:t>
      </w:r>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222"/>
    <w:p w14:paraId="3503337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发生突发环境事件后，事发单位要立即组织本单位应急救援力量营救受害人员，疏散、撤离、安置受威胁的人员；控制污染源，采取污染防治措施，控制污染物进入环境的途径，尽量降低对周边环境的影响。</w:t>
      </w:r>
    </w:p>
    <w:p w14:paraId="748FDB7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街道办事处（镇政府）</w:t>
      </w:r>
      <w:r>
        <w:rPr>
          <w:rFonts w:hint="eastAsia" w:ascii="仿宋_GB2312" w:hAnsi="仿宋_GB2312" w:eastAsia="仿宋_GB2312" w:cs="仿宋_GB2312"/>
          <w:sz w:val="32"/>
          <w:szCs w:val="32"/>
          <w:highlight w:val="none"/>
          <w:lang w:val="en-US" w:eastAsia="zh-CN"/>
        </w:rPr>
        <w:t>组织居委会</w:t>
      </w:r>
      <w:r>
        <w:rPr>
          <w:rFonts w:hint="eastAsia" w:ascii="仿宋_GB2312" w:hAnsi="仿宋_GB2312" w:cs="仿宋_GB2312"/>
          <w:sz w:val="32"/>
          <w:szCs w:val="32"/>
          <w:highlight w:val="none"/>
          <w:lang w:val="en-US" w:eastAsia="zh-CN"/>
        </w:rPr>
        <w:t>、党建站</w:t>
      </w:r>
      <w:r>
        <w:rPr>
          <w:rFonts w:hint="eastAsia" w:ascii="仿宋_GB2312" w:hAnsi="仿宋_GB2312" w:eastAsia="仿宋_GB2312" w:cs="仿宋_GB2312"/>
          <w:sz w:val="32"/>
          <w:szCs w:val="32"/>
          <w:highlight w:val="none"/>
          <w:lang w:val="en-US" w:eastAsia="zh-CN"/>
        </w:rPr>
        <w:t>第一时间组织受影响群众的转移疏散、自救互救，采取措施控制事态发展和环境污染，做好应急救援队伍引导工作，协助维护社会秩序。</w:t>
      </w:r>
    </w:p>
    <w:p w14:paraId="6D7FEE37">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23" w:name="_Toc17461"/>
      <w:bookmarkStart w:id="224" w:name="_Toc1565"/>
      <w:bookmarkStart w:id="225" w:name="_Toc6691"/>
      <w:bookmarkStart w:id="226" w:name="_Toc16915"/>
      <w:bookmarkStart w:id="227" w:name="_Toc1902946889"/>
      <w:bookmarkStart w:id="228" w:name="_Toc21315"/>
      <w:bookmarkStart w:id="229" w:name="_Toc842769088"/>
      <w:bookmarkStart w:id="230" w:name="_Toc28042"/>
      <w:bookmarkStart w:id="231" w:name="_Toc863"/>
      <w:bookmarkStart w:id="232" w:name="_Toc22024"/>
      <w:bookmarkStart w:id="233" w:name="_Toc15437"/>
      <w:bookmarkStart w:id="234" w:name="_Toc3996"/>
      <w:bookmarkStart w:id="235" w:name="_Toc24532"/>
      <w:r>
        <w:rPr>
          <w:rFonts w:hint="eastAsia" w:ascii="楷体_GB2312" w:hAnsi="楷体_GB2312" w:eastAsia="楷体_GB2312" w:cs="楷体_GB2312"/>
          <w:b w:val="0"/>
          <w:bCs/>
          <w:snapToGrid w:val="0"/>
          <w:color w:val="000000"/>
          <w:kern w:val="0"/>
          <w:sz w:val="32"/>
          <w:szCs w:val="32"/>
          <w:highlight w:val="none"/>
          <w:lang w:val="en-US" w:eastAsia="zh-CN" w:bidi="ar-SA"/>
        </w:rPr>
        <w:t>4.2 信息报送</w:t>
      </w:r>
      <w:bookmarkEnd w:id="223"/>
      <w:bookmarkEnd w:id="224"/>
      <w:bookmarkEnd w:id="225"/>
      <w:r>
        <w:rPr>
          <w:rFonts w:hint="eastAsia" w:ascii="楷体_GB2312" w:hAnsi="楷体_GB2312" w:eastAsia="楷体_GB2312" w:cs="楷体_GB2312"/>
          <w:b w:val="0"/>
          <w:bCs/>
          <w:snapToGrid w:val="0"/>
          <w:color w:val="000000"/>
          <w:kern w:val="0"/>
          <w:sz w:val="32"/>
          <w:szCs w:val="32"/>
          <w:highlight w:val="none"/>
          <w:lang w:val="en-US" w:eastAsia="zh-CN" w:bidi="ar-SA"/>
        </w:rPr>
        <w:t>与</w:t>
      </w:r>
      <w:bookmarkEnd w:id="226"/>
      <w:bookmarkEnd w:id="227"/>
      <w:bookmarkEnd w:id="228"/>
      <w:bookmarkEnd w:id="229"/>
      <w:bookmarkEnd w:id="230"/>
      <w:bookmarkEnd w:id="231"/>
      <w:r>
        <w:rPr>
          <w:rFonts w:hint="eastAsia" w:ascii="楷体_GB2312" w:hAnsi="楷体_GB2312" w:eastAsia="楷体_GB2312" w:cs="楷体_GB2312"/>
          <w:b w:val="0"/>
          <w:bCs/>
          <w:snapToGrid w:val="0"/>
          <w:color w:val="000000"/>
          <w:kern w:val="0"/>
          <w:sz w:val="32"/>
          <w:szCs w:val="32"/>
          <w:highlight w:val="none"/>
          <w:lang w:val="en-US" w:eastAsia="zh-CN" w:bidi="ar-SA"/>
        </w:rPr>
        <w:t>通报</w:t>
      </w:r>
      <w:bookmarkEnd w:id="232"/>
      <w:bookmarkEnd w:id="233"/>
      <w:bookmarkEnd w:id="234"/>
      <w:bookmarkEnd w:id="235"/>
    </w:p>
    <w:p w14:paraId="114DB33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4.2.1 公民、法人或者其他组织，特别是责任单位，发现突发环境事件发生后，应立即向</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lang w:val="en-US" w:eastAsia="zh-CN"/>
        </w:rPr>
        <w:t>和相关部门报告。同时，责任单位要通报可能受到污染的单位和居民。</w:t>
      </w:r>
    </w:p>
    <w:p w14:paraId="336AEDC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4.2.2 经开区相关部门发现突发事件有可能产生次生、衍生突发环境事件时，应及时将信息通报给经开区城市运行局。</w:t>
      </w:r>
    </w:p>
    <w:p w14:paraId="1B90D10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4.2.3 城市运行局接到突发环境事件报告后，应立即会同综合执法局调查核实，查明引发事件的污染源，确定污染的基本情况。</w:t>
      </w:r>
    </w:p>
    <w:p w14:paraId="6891310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4.2.4 核实情况后，区环境应急协调小组办公室、相关部门及有关单位应立即向党政办公室和安全应急委办公室报告，同时通报宣传文化部。对接报的较大及以上突发事件信息或事件本身比较敏感或发生在重点地区、特殊时期的，可能产生较大影响的突发事件或突出情况信息，党政办公室、安全应急委办公室分别按规定同时向市委市政府和市应急办报告，宣传文化部同时通报市委宣传部、市委网信办，详细信息最迟不得晚于事件发生后2小时报送。</w:t>
      </w:r>
    </w:p>
    <w:p w14:paraId="37227C3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4.2.5对于暂时无法判明等级的突发环境事件，应迅速核实，最迟不晚于接报后15分钟向安全应急委办公室报告。对于仍在处置过程中的较大及以上突发环境事件，每30分钟续报人员伤亡、处置进展和发展趋势等信息，直到应急处置结束。</w:t>
      </w:r>
    </w:p>
    <w:p w14:paraId="1941CAB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US" w:eastAsia="zh-CN"/>
        </w:rPr>
        <w:t>对于涉及</w:t>
      </w:r>
      <w:bookmarkStart w:id="537" w:name="_GoBack"/>
      <w:bookmarkEnd w:id="537"/>
      <w:r>
        <w:rPr>
          <w:rFonts w:hint="eastAsia" w:ascii="仿宋_GB2312" w:hAnsi="仿宋_GB2312" w:eastAsia="仿宋_GB2312" w:cs="仿宋_GB2312"/>
          <w:sz w:val="32"/>
          <w:szCs w:val="32"/>
          <w:highlight w:val="none"/>
          <w:lang w:val="en-US" w:eastAsia="zh-CN"/>
        </w:rPr>
        <w:t>港澳驻区机构、港澳台人员、外国在区机构、人员的突发环境事件，安全应急委办公室应同时通报营商合作局。</w:t>
      </w:r>
    </w:p>
    <w:p w14:paraId="0D94C15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对于安全应急委办公室明确要求核报的信息，要通过各种渠道迅速核实，按照时限要求反馈相关情况，原则上电话反馈时间不得超过15分钟，对于明确要求报送书面信息的，反馈时间不得超过30分钟。</w:t>
      </w:r>
    </w:p>
    <w:p w14:paraId="4760097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w:t>
      </w: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突发环境事件有跨区界、跨流域影响的，应及时报告区应急办，并按有关规定及时向毗邻和可能受到影响的地区政府通报情况，适时启动联防联控机制。</w:t>
      </w:r>
    </w:p>
    <w:p w14:paraId="159E27F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通报的主要内容：事件发生的时间、地点、原因、类别、人员伤亡和损失情况、污染物种类和性质、可能影响的范围、危害程度、发展趋势、属地采取的措施等。</w:t>
      </w:r>
    </w:p>
    <w:p w14:paraId="2B16E34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w:t>
      </w:r>
      <w:r>
        <w:rPr>
          <w:rFonts w:hint="eastAsia" w:ascii="仿宋_GB2312" w:hAnsi="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en-US" w:eastAsia="zh-CN"/>
        </w:rPr>
        <w:t xml:space="preserve"> 突发环境事件报告分为初报、续报和终报。报告内容应包括：时间、地点、信息来源、事件起因和性质、基本过程、主要污染物和数量、监测数据、人员受害情况、饮用水水源地等环境敏感点受影响情况、发展趋势、处置情况、拟采取的措施以及下一步工作建议等。</w:t>
      </w:r>
    </w:p>
    <w:p w14:paraId="02DFB8B3">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36" w:name="_Toc14076"/>
      <w:bookmarkStart w:id="237" w:name="_Toc23822"/>
      <w:bookmarkStart w:id="238" w:name="_Toc6138"/>
      <w:bookmarkStart w:id="239" w:name="_Toc12769"/>
      <w:bookmarkStart w:id="240" w:name="_Toc5567"/>
      <w:bookmarkStart w:id="241" w:name="_Toc5852"/>
      <w:bookmarkStart w:id="242" w:name="_Toc8139"/>
      <w:bookmarkStart w:id="243" w:name="_Toc482690304"/>
      <w:bookmarkStart w:id="244" w:name="_Toc914"/>
      <w:bookmarkStart w:id="245" w:name="_Toc588956648"/>
      <w:bookmarkStart w:id="246" w:name="_Toc28394"/>
      <w:bookmarkStart w:id="247" w:name="_Toc5752"/>
      <w:bookmarkStart w:id="248" w:name="_Toc1467090835"/>
      <w:bookmarkStart w:id="249" w:name="_Toc1038"/>
      <w:r>
        <w:rPr>
          <w:rFonts w:hint="eastAsia" w:ascii="楷体_GB2312" w:hAnsi="楷体_GB2312" w:eastAsia="楷体_GB2312" w:cs="楷体_GB2312"/>
          <w:b w:val="0"/>
          <w:bCs/>
          <w:snapToGrid w:val="0"/>
          <w:color w:val="000000"/>
          <w:kern w:val="0"/>
          <w:sz w:val="32"/>
          <w:szCs w:val="32"/>
          <w:highlight w:val="none"/>
          <w:lang w:val="en-US" w:eastAsia="zh-CN" w:bidi="ar-SA"/>
        </w:rPr>
        <w:t>4.3 响应分级</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5F86C9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根据《市环境应急预案》和《经开区总体预案》的突发环境事件响应分级，本区突发环境事件应急响应由低到高分为二级和一级。</w:t>
      </w:r>
    </w:p>
    <w:p w14:paraId="23937C6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对于事件本身比较敏感，发生在重大活动举办、重要会议召开等特殊时期的，可适当提高响应级别。应急响应启动后，可视突发环境事件态势发展情况及时调整响应级别。</w:t>
      </w:r>
    </w:p>
    <w:p w14:paraId="2938582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250" w:name="_Toc19377"/>
      <w:bookmarkStart w:id="251" w:name="_Toc2136"/>
      <w:bookmarkStart w:id="252" w:name="_Toc21930"/>
      <w:bookmarkStart w:id="253" w:name="_Toc10465"/>
      <w:bookmarkStart w:id="254" w:name="_Toc27540"/>
      <w:bookmarkStart w:id="255" w:name="_Toc32135"/>
      <w:r>
        <w:rPr>
          <w:rFonts w:hint="eastAsia" w:ascii="仿宋_GB2312" w:hAnsi="仿宋_GB2312" w:eastAsia="仿宋_GB2312" w:cs="仿宋_GB2312"/>
          <w:sz w:val="32"/>
          <w:szCs w:val="32"/>
          <w:highlight w:val="none"/>
          <w:lang w:val="en-US" w:eastAsia="zh-CN"/>
        </w:rPr>
        <w:t>4.3.1 二级响应</w:t>
      </w:r>
      <w:bookmarkEnd w:id="250"/>
      <w:bookmarkEnd w:id="251"/>
      <w:bookmarkEnd w:id="252"/>
      <w:bookmarkEnd w:id="253"/>
      <w:bookmarkEnd w:id="254"/>
      <w:bookmarkEnd w:id="255"/>
    </w:p>
    <w:p w14:paraId="1640CC0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初判突发环境事件为一般及以下级别，由区环境应急协调小组办公室启动二级应急响，成立区临时指挥部，迅速指挥协调公安、交管、消防、卫生健康、应急、宣传、生态环境等应急力量赶赴现场，开展先期处置，控制或切断污染源，全力控制事件态势，避免污染物向环境扩散，严防二次污染和次生、衍生灾害发生；组织、动员和帮助群众开展安全防护工作。区有关领导赴现场任总指挥，根据应急处置工作需要，成立现场指挥部，组织协调各方力量开展处置。处置过程情况随时报告市环境应急协调小组办公室。</w:t>
      </w:r>
    </w:p>
    <w:p w14:paraId="4F5BFD3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响应启动后，可根据需要请求市级部门指导本区应急处置工作，在协调应急队伍、专家以及装备、物资等工作方面予以支援。</w:t>
      </w:r>
    </w:p>
    <w:p w14:paraId="4CDD9F7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256" w:name="_Toc16157"/>
      <w:bookmarkStart w:id="257" w:name="_Toc30848"/>
      <w:bookmarkStart w:id="258" w:name="_Toc29638"/>
      <w:bookmarkStart w:id="259" w:name="_Toc15010"/>
      <w:bookmarkStart w:id="260" w:name="_Toc12502"/>
      <w:r>
        <w:rPr>
          <w:rFonts w:hint="eastAsia" w:ascii="仿宋_GB2312" w:hAnsi="仿宋_GB2312" w:eastAsia="仿宋_GB2312" w:cs="仿宋_GB2312"/>
          <w:sz w:val="32"/>
          <w:szCs w:val="32"/>
          <w:highlight w:val="none"/>
          <w:lang w:val="en-US" w:eastAsia="zh-CN"/>
        </w:rPr>
        <w:t>4.3.2 一级响应</w:t>
      </w:r>
      <w:bookmarkEnd w:id="256"/>
      <w:bookmarkEnd w:id="257"/>
      <w:bookmarkEnd w:id="258"/>
      <w:bookmarkEnd w:id="259"/>
      <w:bookmarkEnd w:id="260"/>
    </w:p>
    <w:p w14:paraId="064AA83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初判突发环境事件满足以下条件之一时，区环境应急协调小组办公室在二级相应的基础上启动：</w:t>
      </w:r>
    </w:p>
    <w:p w14:paraId="711A482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（1）突发环境事件可能达到较大及以上级别；</w:t>
      </w:r>
    </w:p>
    <w:p w14:paraId="7D92031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（2）需要统筹多个市级部门或单位、毗邻和可能受到影响的区政府共同处置；</w:t>
      </w:r>
    </w:p>
    <w:p w14:paraId="784FEF9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（3）需要调动市级应急队伍、应急物资等作为主要资源进行处置；</w:t>
      </w:r>
    </w:p>
    <w:p w14:paraId="553DE71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（4）工委、管委会主要领导认为有必要的其他情况。</w:t>
      </w:r>
    </w:p>
    <w:p w14:paraId="09B308C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环境应急协调小组办公室向市级部门报告，由安全应急委在二级响应的基础上启动，安全应急委主任赶赴现场并成立现场指挥部，安全应急委主任任总指挥，常务副主任任执行总指挥，区各相关部门、有关单位协助配合，当市突发环境事件临时应急指挥部（以下简称市临时指挥部）指挥人员到达现场并成立市级现场指挥部后，区级现场指挥部移交指挥权，并纳入市级现场指挥部统一领导。</w:t>
      </w:r>
    </w:p>
    <w:p w14:paraId="0D8239C4">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61" w:name="_Toc25639"/>
      <w:bookmarkStart w:id="262" w:name="_Toc16537"/>
      <w:bookmarkStart w:id="263" w:name="_Toc12244"/>
      <w:bookmarkStart w:id="264" w:name="_Toc17623"/>
      <w:r>
        <w:rPr>
          <w:rFonts w:hint="eastAsia" w:ascii="楷体_GB2312" w:hAnsi="楷体_GB2312" w:eastAsia="楷体_GB2312" w:cs="楷体_GB2312"/>
          <w:b w:val="0"/>
          <w:bCs/>
          <w:snapToGrid w:val="0"/>
          <w:color w:val="000000"/>
          <w:kern w:val="0"/>
          <w:sz w:val="32"/>
          <w:szCs w:val="32"/>
          <w:highlight w:val="none"/>
          <w:lang w:val="en-US" w:eastAsia="zh-CN" w:bidi="ar-SA"/>
        </w:rPr>
        <w:t>4.4 现场指挥部</w:t>
      </w:r>
      <w:bookmarkEnd w:id="261"/>
      <w:bookmarkEnd w:id="262"/>
      <w:bookmarkEnd w:id="263"/>
      <w:bookmarkEnd w:id="264"/>
    </w:p>
    <w:p w14:paraId="3A51A19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4.4.1 根据应急处置工作需要，成立现场指挥部。现场指挥部由总指挥、执行指挥和各工作组组长组成，实行总指挥负责制。总指挥行使重要事项决策和行政协调权，执行指挥行使专业处置权。现场指挥部由区临时指挥部工作组指派相关人员组成，根据处置需要进行现场编组，确定联系人和通信方式。</w:t>
      </w:r>
    </w:p>
    <w:p w14:paraId="752DCC2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4.4.2 市级现场指挥部成立后，区级现场总指挥和必要人员纳入市级现场指挥部，区级现场指挥部继续统一领导区级现场应急处置工作。</w:t>
      </w:r>
    </w:p>
    <w:p w14:paraId="0540EEB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指挥部应维护好事发地区治安秩序，做好交通保障、人员救治与疏散、群众安置等工作，全力防止紧急事态的进一步扩大和次生、衍生灾害发生。及时掌握事件进展情况，随时向工委、管委会报告。结合现场实际情况，对突发事件进行综合分析、快速评估，尽快研究确定现场应急处置方案。制定切实可行的防范措施和救援程序，配备符合要求的安全防护设备，确保现场救援人员安全。按处置方案发布命令，全面展开调集应急物资，抢修被损坏的公共设施，向受到危害的人员提供避难场所、生活必需品、医疗救护等各项紧急处置工作。</w:t>
      </w:r>
    </w:p>
    <w:p w14:paraId="21812C3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rPr>
        <w:t>应依据突发事件的级别和种类，适时建议派出由该领域具有丰富应急处置经验人员和相关科研人员组成的专家顾问组，共同参与事件的处置工作。专家组应根据上报和收集掌握的情况，对整个事件进行分析判断和事态评估，研究并提出减灾、救灾等处置措施，为现场指挥部提供决策咨询。</w:t>
      </w:r>
    </w:p>
    <w:p w14:paraId="6A78B88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指挥部应随时跟踪事态的进展情况，一旦发现事态有进一步扩大的趋势，有可能超出自身的控制能力时，报请工委、管委会协调调配其他应急资源参与处置工作；及时向事件可能波及的地区通报有关情况，必要时可通过媒体向社会发出预警。与突发事件有关的部门和单位，应主动向现场指挥部和参与事件处置的相关部门提供与应急处置有关的基础资料，尽全力为实施应急处置、开展救援等工作提供各种便利条件。</w:t>
      </w:r>
    </w:p>
    <w:p w14:paraId="26DEBFA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突发环境事件涉外</w:t>
      </w:r>
      <w:r>
        <w:rPr>
          <w:rFonts w:hint="eastAsia" w:ascii="仿宋_GB2312" w:hAnsi="仿宋_GB2312" w:eastAsia="仿宋_GB2312" w:cs="仿宋_GB2312"/>
          <w:sz w:val="32"/>
          <w:szCs w:val="32"/>
          <w:highlight w:val="none"/>
        </w:rPr>
        <w:t>时，宣传文化部、营商合作局等相关部门应根据需要和职责分工，参与现场指挥部相关工作，协调处置相关涉外事务。</w:t>
      </w:r>
    </w:p>
    <w:p w14:paraId="5E1CF9E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现场指挥部可依据有关法律、法规、规章等规定，采取相应的强制性措施和其他必要措施</w:t>
      </w:r>
      <w:r>
        <w:rPr>
          <w:rFonts w:hint="eastAsia" w:ascii="仿宋_GB2312" w:hAnsi="仿宋_GB2312" w:eastAsia="仿宋_GB2312" w:cs="仿宋_GB2312"/>
          <w:sz w:val="32"/>
          <w:szCs w:val="32"/>
          <w:highlight w:val="none"/>
          <w:lang w:val="en-US" w:eastAsia="zh-CN"/>
        </w:rPr>
        <w:t>。</w:t>
      </w:r>
    </w:p>
    <w:p w14:paraId="0D0DF5F5">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265" w:name="_Toc16865"/>
      <w:bookmarkStart w:id="266" w:name="_Toc8958"/>
      <w:bookmarkStart w:id="267" w:name="_Toc198071408"/>
      <w:bookmarkStart w:id="268" w:name="_Toc25744"/>
      <w:bookmarkStart w:id="269" w:name="_Toc20616"/>
      <w:bookmarkStart w:id="270" w:name="_Toc7963"/>
      <w:bookmarkStart w:id="271" w:name="_Toc20554"/>
      <w:bookmarkStart w:id="272" w:name="_Toc6524"/>
      <w:bookmarkStart w:id="273" w:name="_Toc692307142"/>
      <w:bookmarkStart w:id="274" w:name="_Toc25903"/>
      <w:bookmarkStart w:id="275" w:name="_Toc27731"/>
      <w:bookmarkStart w:id="276" w:name="_Toc4996"/>
      <w:bookmarkStart w:id="277" w:name="_Toc5571"/>
      <w:r>
        <w:rPr>
          <w:rFonts w:hint="eastAsia" w:ascii="楷体_GB2312" w:hAnsi="楷体_GB2312" w:eastAsia="楷体_GB2312" w:cs="楷体_GB2312"/>
          <w:b w:val="0"/>
          <w:bCs/>
          <w:snapToGrid w:val="0"/>
          <w:color w:val="000000"/>
          <w:kern w:val="0"/>
          <w:sz w:val="32"/>
          <w:szCs w:val="32"/>
          <w:highlight w:val="none"/>
          <w:lang w:val="en-US" w:eastAsia="zh-CN" w:bidi="ar-SA"/>
        </w:rPr>
        <w:t xml:space="preserve">4.5 </w:t>
      </w:r>
      <w:r>
        <w:rPr>
          <w:rFonts w:hint="eastAsia" w:ascii="楷体_GB2312" w:hAnsi="楷体_GB2312" w:eastAsia="楷体_GB2312" w:cs="楷体_GB2312"/>
          <w:b w:val="0"/>
          <w:bCs/>
          <w:snapToGrid w:val="0"/>
          <w:color w:val="000000"/>
          <w:kern w:val="0"/>
          <w:sz w:val="32"/>
          <w:szCs w:val="32"/>
          <w:highlight w:val="none"/>
          <w:lang w:val="en-US" w:eastAsia="zh-Hans" w:bidi="ar-SA"/>
        </w:rPr>
        <w:t>处置程序与</w:t>
      </w:r>
      <w:r>
        <w:rPr>
          <w:rFonts w:hint="eastAsia" w:ascii="楷体_GB2312" w:hAnsi="楷体_GB2312" w:eastAsia="楷体_GB2312" w:cs="楷体_GB2312"/>
          <w:b w:val="0"/>
          <w:bCs/>
          <w:snapToGrid w:val="0"/>
          <w:color w:val="000000"/>
          <w:kern w:val="0"/>
          <w:sz w:val="32"/>
          <w:szCs w:val="32"/>
          <w:highlight w:val="none"/>
          <w:lang w:val="en-US" w:eastAsia="zh-CN" w:bidi="ar-SA"/>
        </w:rPr>
        <w:t>措施</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40C3450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278" w:name="_Toc4711"/>
      <w:bookmarkStart w:id="279" w:name="_Toc18494"/>
      <w:bookmarkStart w:id="280" w:name="_Toc29934"/>
      <w:bookmarkStart w:id="281" w:name="_Toc21790"/>
      <w:bookmarkStart w:id="282" w:name="_Toc28169"/>
      <w:bookmarkStart w:id="283" w:name="_Toc11199"/>
      <w:bookmarkStart w:id="284" w:name="_Toc17471"/>
      <w:bookmarkStart w:id="285" w:name="_Toc27234"/>
      <w:bookmarkStart w:id="286" w:name="_Toc11874"/>
      <w:bookmarkStart w:id="287" w:name="_Toc30777"/>
      <w:bookmarkStart w:id="288" w:name="_Toc6474"/>
      <w:bookmarkStart w:id="289" w:name="_Toc22443"/>
      <w:bookmarkStart w:id="290" w:name="_Toc386501406"/>
      <w:bookmarkStart w:id="291" w:name="_Toc539736148"/>
      <w:r>
        <w:rPr>
          <w:rFonts w:hint="eastAsia" w:ascii="仿宋_GB2312" w:hAnsi="仿宋_GB2312" w:eastAsia="仿宋_GB2312" w:cs="仿宋_GB2312"/>
          <w:sz w:val="32"/>
          <w:szCs w:val="32"/>
          <w:highlight w:val="none"/>
          <w:lang w:val="en-US" w:eastAsia="zh-CN"/>
        </w:rPr>
        <w:t>4.5.1 现场污染处置</w:t>
      </w:r>
      <w:bookmarkEnd w:id="278"/>
      <w:bookmarkEnd w:id="279"/>
      <w:bookmarkEnd w:id="280"/>
      <w:bookmarkEnd w:id="281"/>
      <w:bookmarkEnd w:id="282"/>
    </w:p>
    <w:p w14:paraId="531BD9E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涉事企业事业单位或其他生产经营者要立即采取必要措施，切断和控制污染源，防止污染蔓延扩散。做好有毒有害物质和消防废水、废液等的收集、清理和安全处置工作。当涉事企业事业单位或其他生产经营者不明或处置力量不足时，由现场指挥部组织相关部门对污染来源开展调查，确定污染物种类和污染范围，协调应急处置队伍、调集相关应急物资，切断污染源。</w:t>
      </w:r>
    </w:p>
    <w:p w14:paraId="0023704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（2）现场指挥部应组织制定综合处置方案。</w:t>
      </w:r>
    </w:p>
    <w:p w14:paraId="7B09755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涉及大气污染的突发环境事件，可采用监测和模拟等手段，或结合北京经济技术开发区特征污染物变化情况追踪污染气体扩散途径和范围，确定安全边界，通过封堵、围挡、喷淋、抽吸、转移异地处置、去污洗消等措施处置。</w:t>
      </w:r>
    </w:p>
    <w:p w14:paraId="23CE1C4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涉及水体污染的突发环境事件，结合“一河一图一策”，借助环境应急空间与设施，通过拦截、导流、疏浚等形式防止水体污染扩大，采取隔离、吸附、打捞、氧化还原、中和、沉淀、消毒、去污洗消、临时收贮、微生物消解、转移异地处置、临时改造污染处置工艺或临时建设污染处置工程等方法处置污染物。</w:t>
      </w:r>
    </w:p>
    <w:p w14:paraId="3D4C958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涉及土壤污染的突发环境事件，组织开展现场鉴定、识别、核实造成污染的种类、性质、污染方式、危害程度及受影响范围和边界，封存、转移、销毁残存的化学毒剂，对被污染的部位和被污染的物品、场所、环境等进行洗消，控制污染源扩散。</w:t>
      </w:r>
    </w:p>
    <w:p w14:paraId="61AC278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涉及辐射污染的突发环境事件，组织开展应急监测，确定污染范围、面积及放射性物质释放量，判明污染的放射性核素，估算放射源活度，组织各方应急技术支持力量开展辐射环境监测、放射源搜寻和污染处置工作。</w:t>
      </w:r>
    </w:p>
    <w:p w14:paraId="31C17D9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（3）事件涉及的相关部门、单位要及时、主动提供有关的基础资料和信息，供现场指挥部研究救援和处置方案时参考。必要时，其他排污单位要采取停产、限产、限排等措施，减轻环境污染负荷。</w:t>
      </w:r>
    </w:p>
    <w:p w14:paraId="35854FC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292" w:name="_Toc26472"/>
      <w:bookmarkStart w:id="293" w:name="_Toc32720"/>
      <w:bookmarkStart w:id="294" w:name="_Toc5318"/>
      <w:bookmarkStart w:id="295" w:name="_Toc32017"/>
      <w:bookmarkStart w:id="296" w:name="_Toc6982"/>
      <w:r>
        <w:rPr>
          <w:rFonts w:hint="eastAsia" w:ascii="仿宋_GB2312" w:hAnsi="仿宋_GB2312" w:eastAsia="仿宋_GB2312" w:cs="仿宋_GB2312"/>
          <w:sz w:val="32"/>
          <w:szCs w:val="32"/>
          <w:highlight w:val="none"/>
          <w:lang w:val="en-US" w:eastAsia="zh-CN"/>
        </w:rPr>
        <w:t>4.5.2 转移安置人员</w:t>
      </w:r>
      <w:bookmarkEnd w:id="292"/>
      <w:bookmarkEnd w:id="293"/>
      <w:bookmarkEnd w:id="294"/>
      <w:bookmarkEnd w:id="295"/>
      <w:bookmarkEnd w:id="296"/>
    </w:p>
    <w:p w14:paraId="101C156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现场指挥部</w:t>
      </w:r>
      <w:r>
        <w:rPr>
          <w:rFonts w:hint="eastAsia" w:ascii="仿宋_GB2312" w:hAnsi="仿宋_GB2312" w:cs="仿宋_GB2312"/>
          <w:sz w:val="32"/>
          <w:szCs w:val="32"/>
          <w:highlight w:val="none"/>
          <w:lang w:val="en-US" w:eastAsia="zh-CN"/>
        </w:rPr>
        <w:t>综合保障组、秩序管控组</w:t>
      </w:r>
      <w:r>
        <w:rPr>
          <w:rFonts w:hint="eastAsia" w:ascii="仿宋_GB2312" w:hAnsi="仿宋_GB2312" w:eastAsia="仿宋_GB2312" w:cs="仿宋_GB2312"/>
          <w:sz w:val="32"/>
          <w:szCs w:val="32"/>
          <w:highlight w:val="none"/>
          <w:lang w:val="en-US" w:eastAsia="zh-CN"/>
        </w:rPr>
        <w:t>应根据突发环境事件影响及事发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w:t>
      </w:r>
      <w:bookmarkStart w:id="297" w:name="_Hlk98697972"/>
      <w:r>
        <w:rPr>
          <w:rFonts w:hint="eastAsia" w:ascii="仿宋_GB2312" w:hAnsi="仿宋_GB2312" w:eastAsia="仿宋_GB2312" w:cs="仿宋_GB2312"/>
          <w:sz w:val="32"/>
          <w:szCs w:val="32"/>
          <w:highlight w:val="none"/>
          <w:lang w:val="en-US" w:eastAsia="zh-CN"/>
        </w:rPr>
        <w:t>保障受事件影响人员的基本生活需求和必要医疗条件。</w:t>
      </w:r>
      <w:bookmarkEnd w:id="297"/>
    </w:p>
    <w:p w14:paraId="5137D8A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298" w:name="_Toc2026"/>
      <w:bookmarkStart w:id="299" w:name="_Toc28594"/>
      <w:bookmarkStart w:id="300" w:name="_Toc18008"/>
      <w:bookmarkStart w:id="301" w:name="_Toc21320"/>
      <w:bookmarkStart w:id="302" w:name="_Toc10015"/>
      <w:r>
        <w:rPr>
          <w:rFonts w:hint="eastAsia" w:ascii="仿宋_GB2312" w:hAnsi="仿宋_GB2312" w:eastAsia="仿宋_GB2312" w:cs="仿宋_GB2312"/>
          <w:sz w:val="32"/>
          <w:szCs w:val="32"/>
          <w:highlight w:val="none"/>
          <w:lang w:val="en-US" w:eastAsia="zh-CN"/>
        </w:rPr>
        <w:t>4.5.3 医学救援</w:t>
      </w:r>
      <w:bookmarkEnd w:id="298"/>
      <w:bookmarkEnd w:id="299"/>
      <w:bookmarkEnd w:id="300"/>
      <w:bookmarkEnd w:id="301"/>
      <w:bookmarkEnd w:id="302"/>
    </w:p>
    <w:p w14:paraId="0A6E0F3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现场指挥部</w:t>
      </w:r>
      <w:r>
        <w:rPr>
          <w:rFonts w:hint="eastAsia" w:ascii="仿宋_GB2312" w:hAnsi="仿宋_GB2312" w:cs="仿宋_GB2312"/>
          <w:sz w:val="32"/>
          <w:szCs w:val="32"/>
          <w:highlight w:val="none"/>
          <w:lang w:val="en-US" w:eastAsia="zh-CN"/>
        </w:rPr>
        <w:t>医学救援组</w:t>
      </w:r>
      <w:r>
        <w:rPr>
          <w:rFonts w:hint="eastAsia" w:ascii="仿宋_GB2312" w:hAnsi="仿宋_GB2312" w:eastAsia="仿宋_GB2312" w:cs="仿宋_GB2312"/>
          <w:sz w:val="32"/>
          <w:szCs w:val="32"/>
          <w:highlight w:val="none"/>
          <w:lang w:val="en-US" w:eastAsia="zh-CN"/>
        </w:rPr>
        <w:t>应迅速组织医疗资源和力量，对伤病员进行诊断治疗，根据需要及时、安全地将重伤病员转移到有条件的医疗机构进行救治。指导和协助开展受污染人员的去污洗消工作，提出公众健康的防护措施建议。视情增派医疗卫生专家和卫生应急队伍、调配急需医药物资，支持事发地医学救援工作。做好受影响人员的心理援助及安抚工作。</w:t>
      </w:r>
    </w:p>
    <w:p w14:paraId="6885CA8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03" w:name="_Toc900"/>
      <w:bookmarkStart w:id="304" w:name="_Toc27007"/>
      <w:bookmarkStart w:id="305" w:name="_Toc15604"/>
      <w:bookmarkStart w:id="306" w:name="_Toc31319"/>
      <w:bookmarkStart w:id="307" w:name="_Toc16744"/>
      <w:r>
        <w:rPr>
          <w:rFonts w:hint="eastAsia" w:ascii="仿宋_GB2312" w:hAnsi="仿宋_GB2312" w:eastAsia="仿宋_GB2312" w:cs="仿宋_GB2312"/>
          <w:sz w:val="32"/>
          <w:szCs w:val="32"/>
          <w:highlight w:val="none"/>
          <w:lang w:val="en-US" w:eastAsia="zh-CN"/>
        </w:rPr>
        <w:t>4.5.4 应急监测</w:t>
      </w:r>
      <w:bookmarkEnd w:id="303"/>
      <w:bookmarkEnd w:id="304"/>
      <w:bookmarkEnd w:id="305"/>
      <w:bookmarkEnd w:id="306"/>
      <w:bookmarkEnd w:id="307"/>
    </w:p>
    <w:p w14:paraId="3F5BBFF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现场指挥部</w:t>
      </w:r>
      <w:r>
        <w:rPr>
          <w:rFonts w:hint="eastAsia" w:ascii="仿宋_GB2312" w:hAnsi="仿宋_GB2312" w:cs="仿宋_GB2312"/>
          <w:sz w:val="32"/>
          <w:szCs w:val="32"/>
          <w:highlight w:val="none"/>
          <w:lang w:val="en-US" w:eastAsia="zh-CN"/>
        </w:rPr>
        <w:t>应急监测组</w:t>
      </w:r>
      <w:r>
        <w:rPr>
          <w:rFonts w:hint="eastAsia" w:ascii="仿宋_GB2312" w:hAnsi="仿宋_GB2312" w:eastAsia="仿宋_GB2312" w:cs="仿宋_GB2312"/>
          <w:sz w:val="32"/>
          <w:szCs w:val="32"/>
          <w:highlight w:val="none"/>
          <w:lang w:val="en-US" w:eastAsia="zh-CN"/>
        </w:rPr>
        <w:t>加强大气、水体、土壤等应急监测工作。根据突发环境事件污染物种类、性质、扩散速度和事发地的气象、水文、地质及地域特点、周边敏感区域情况，制定应急监测方案，明确污染物类型、扩散的空间范围和浓度。随着污染物的扩散情况和监测结果的变化趋势适当调整监测频次和监测点位。</w:t>
      </w:r>
    </w:p>
    <w:p w14:paraId="32F5C67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根据需要，组织相关专家对突发环境事件信息进行动态分析、评估，及时预测事件的发展情况和污染物浓度数据变化情况，提出相应的应急处置方案和建议，供现场指挥部领导决策参考。</w:t>
      </w:r>
    </w:p>
    <w:p w14:paraId="2DA9174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08" w:name="_Toc17425"/>
      <w:bookmarkStart w:id="309" w:name="_Toc13162"/>
      <w:bookmarkStart w:id="310" w:name="_Toc14197"/>
      <w:bookmarkStart w:id="311" w:name="_Toc7801"/>
      <w:bookmarkStart w:id="312" w:name="_Toc18452"/>
      <w:r>
        <w:rPr>
          <w:rFonts w:hint="eastAsia" w:ascii="仿宋_GB2312" w:hAnsi="仿宋_GB2312" w:eastAsia="仿宋_GB2312" w:cs="仿宋_GB2312"/>
          <w:sz w:val="32"/>
          <w:szCs w:val="32"/>
          <w:highlight w:val="none"/>
          <w:lang w:val="en-US" w:eastAsia="zh-CN"/>
        </w:rPr>
        <w:t>4.5.5 市场监管和调控</w:t>
      </w:r>
      <w:bookmarkEnd w:id="308"/>
      <w:bookmarkEnd w:id="309"/>
      <w:bookmarkEnd w:id="310"/>
      <w:bookmarkEnd w:id="311"/>
      <w:bookmarkEnd w:id="312"/>
    </w:p>
    <w:p w14:paraId="4B66C44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现场指挥部</w:t>
      </w:r>
      <w:r>
        <w:rPr>
          <w:rFonts w:hint="eastAsia" w:ascii="仿宋_GB2312" w:hAnsi="仿宋_GB2312" w:cs="仿宋_GB2312"/>
          <w:sz w:val="32"/>
          <w:szCs w:val="32"/>
          <w:highlight w:val="none"/>
          <w:lang w:val="en-US" w:eastAsia="zh-CN"/>
        </w:rPr>
        <w:t>秩序管控组</w:t>
      </w:r>
      <w:r>
        <w:rPr>
          <w:rFonts w:hint="eastAsia" w:ascii="仿宋_GB2312" w:hAnsi="仿宋_GB2312" w:eastAsia="仿宋_GB2312" w:cs="仿宋_GB2312"/>
          <w:sz w:val="32"/>
          <w:szCs w:val="32"/>
          <w:highlight w:val="none"/>
          <w:lang w:val="en-US" w:eastAsia="zh-CN"/>
        </w:rPr>
        <w:t>密切关注受突发环境事件影响区域市场供应情况及公众反应，加强对重要生活必需品等商品的市场监管和调控。禁止受污染食品和饮用水用于生产、加工和销售环节，防范因突发环境事件造成集体中毒等。</w:t>
      </w:r>
    </w:p>
    <w:p w14:paraId="22E105B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13" w:name="_Toc19000"/>
      <w:bookmarkStart w:id="314" w:name="_Toc15929"/>
      <w:bookmarkStart w:id="315" w:name="_Toc27974"/>
      <w:bookmarkStart w:id="316" w:name="_Toc5664"/>
      <w:bookmarkStart w:id="317" w:name="_Toc1599"/>
      <w:r>
        <w:rPr>
          <w:rFonts w:hint="eastAsia" w:ascii="仿宋_GB2312" w:hAnsi="仿宋_GB2312" w:eastAsia="仿宋_GB2312" w:cs="仿宋_GB2312"/>
          <w:sz w:val="32"/>
          <w:szCs w:val="32"/>
          <w:highlight w:val="none"/>
          <w:lang w:val="en-US" w:eastAsia="zh-CN"/>
        </w:rPr>
        <w:t>4.5.6 维护社会稳定</w:t>
      </w:r>
      <w:bookmarkEnd w:id="313"/>
      <w:bookmarkEnd w:id="314"/>
      <w:bookmarkEnd w:id="315"/>
      <w:bookmarkEnd w:id="316"/>
      <w:bookmarkEnd w:id="317"/>
    </w:p>
    <w:p w14:paraId="1AF6C34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现场指挥部</w:t>
      </w:r>
      <w:r>
        <w:rPr>
          <w:rFonts w:hint="eastAsia" w:ascii="仿宋_GB2312" w:hAnsi="仿宋_GB2312" w:cs="仿宋_GB2312"/>
          <w:sz w:val="32"/>
          <w:szCs w:val="32"/>
          <w:highlight w:val="none"/>
          <w:lang w:val="en-US" w:eastAsia="zh-CN"/>
        </w:rPr>
        <w:t>秩序管控组、综合保障组</w:t>
      </w:r>
      <w:r>
        <w:rPr>
          <w:rFonts w:hint="eastAsia" w:ascii="仿宋_GB2312" w:hAnsi="仿宋_GB2312" w:eastAsia="仿宋_GB2312" w:cs="仿宋_GB2312"/>
          <w:sz w:val="32"/>
          <w:szCs w:val="32"/>
          <w:highlight w:val="none"/>
          <w:lang w:val="en-US" w:eastAsia="zh-CN"/>
        </w:rPr>
        <w:t>要加强受影响地区社会治安管理，严厉打击借机传播谣言制造社会恐慌、哄抢救灾物资等违法犯罪行为；加强转移人员安置点、救灾物资存放点等重点地区治安管控；做好受影响人员与涉事单位、事发地</w:t>
      </w:r>
      <w:r>
        <w:rPr>
          <w:rFonts w:hint="eastAsia" w:ascii="仿宋_GB2312" w:hAnsi="仿宋_GB2312" w:cs="仿宋_GB2312"/>
          <w:sz w:val="32"/>
          <w:szCs w:val="32"/>
          <w:highlight w:val="none"/>
          <w:lang w:val="en-US" w:eastAsia="zh-CN"/>
        </w:rPr>
        <w:t>街道（镇）</w:t>
      </w:r>
      <w:r>
        <w:rPr>
          <w:rFonts w:hint="eastAsia" w:ascii="仿宋_GB2312" w:hAnsi="仿宋_GB2312" w:eastAsia="仿宋_GB2312" w:cs="仿宋_GB2312"/>
          <w:sz w:val="32"/>
          <w:szCs w:val="32"/>
          <w:highlight w:val="none"/>
          <w:lang w:val="en-US" w:eastAsia="zh-CN"/>
        </w:rPr>
        <w:t>及有关部门矛盾纠纷化解和法律服务工作，防止出现群体性事件，维护社会稳定。</w:t>
      </w:r>
    </w:p>
    <w:bookmarkEnd w:id="283"/>
    <w:bookmarkEnd w:id="284"/>
    <w:bookmarkEnd w:id="285"/>
    <w:bookmarkEnd w:id="286"/>
    <w:bookmarkEnd w:id="287"/>
    <w:bookmarkEnd w:id="288"/>
    <w:bookmarkEnd w:id="289"/>
    <w:bookmarkEnd w:id="290"/>
    <w:bookmarkEnd w:id="291"/>
    <w:p w14:paraId="6F53C495">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18" w:name="_Toc20655"/>
      <w:bookmarkStart w:id="319" w:name="_Toc30987"/>
      <w:bookmarkStart w:id="320" w:name="_Toc23520"/>
      <w:bookmarkStart w:id="321" w:name="_Toc31117"/>
      <w:r>
        <w:rPr>
          <w:rFonts w:hint="eastAsia" w:ascii="楷体_GB2312" w:hAnsi="楷体_GB2312" w:eastAsia="楷体_GB2312" w:cs="楷体_GB2312"/>
          <w:b w:val="0"/>
          <w:bCs/>
          <w:snapToGrid w:val="0"/>
          <w:color w:val="000000"/>
          <w:kern w:val="0"/>
          <w:sz w:val="32"/>
          <w:szCs w:val="32"/>
          <w:highlight w:val="none"/>
          <w:lang w:val="en-US" w:eastAsia="zh-CN" w:bidi="ar-SA"/>
        </w:rPr>
        <w:t>4.6 信息发布和舆论引导</w:t>
      </w:r>
      <w:bookmarkEnd w:id="318"/>
      <w:bookmarkEnd w:id="319"/>
      <w:bookmarkEnd w:id="320"/>
      <w:bookmarkEnd w:id="321"/>
    </w:p>
    <w:p w14:paraId="65F5721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22" w:name="_Toc22155"/>
      <w:bookmarkStart w:id="323" w:name="_Toc10697"/>
      <w:bookmarkStart w:id="324" w:name="_Toc8954"/>
      <w:bookmarkStart w:id="325" w:name="_Toc10153"/>
      <w:r>
        <w:rPr>
          <w:rFonts w:hint="eastAsia" w:ascii="仿宋_GB2312" w:hAnsi="仿宋_GB2312" w:eastAsia="仿宋_GB2312" w:cs="仿宋_GB2312"/>
          <w:sz w:val="32"/>
          <w:szCs w:val="32"/>
          <w:highlight w:val="none"/>
          <w:lang w:val="en-US" w:eastAsia="zh-CN"/>
        </w:rPr>
        <w:t>4.6.1 信息发布</w:t>
      </w:r>
      <w:bookmarkEnd w:id="322"/>
      <w:bookmarkEnd w:id="323"/>
      <w:bookmarkEnd w:id="324"/>
      <w:bookmarkEnd w:id="325"/>
    </w:p>
    <w:p w14:paraId="727FA20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（1）突发环境事件的信息发布工作，应按照党中央、国务院及本市相关规定，由宣传部门会同</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lang w:val="en-US" w:eastAsia="zh-CN"/>
        </w:rPr>
        <w:t>进行管理协调与具体落实。</w:t>
      </w:r>
    </w:p>
    <w:p w14:paraId="40480E2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（2）各成员单位应及时向区环境应急协调小组办公室报送相关事件信息，做好突发环境事件的新闻发布保障工作。</w:t>
      </w:r>
    </w:p>
    <w:p w14:paraId="728796D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26" w:name="_Toc21814"/>
      <w:bookmarkStart w:id="327" w:name="_Toc14010"/>
      <w:bookmarkStart w:id="328" w:name="_Toc29107"/>
      <w:bookmarkStart w:id="329" w:name="_Toc530"/>
      <w:r>
        <w:rPr>
          <w:rFonts w:hint="eastAsia" w:ascii="仿宋_GB2312" w:hAnsi="仿宋_GB2312" w:eastAsia="仿宋_GB2312" w:cs="仿宋_GB2312"/>
          <w:sz w:val="32"/>
          <w:szCs w:val="32"/>
          <w:highlight w:val="none"/>
          <w:lang w:val="en-US" w:eastAsia="zh-CN"/>
        </w:rPr>
        <w:t>4.6.2 舆论引导</w:t>
      </w:r>
      <w:bookmarkEnd w:id="326"/>
      <w:bookmarkEnd w:id="327"/>
      <w:bookmarkEnd w:id="328"/>
      <w:bookmarkEnd w:id="329"/>
    </w:p>
    <w:p w14:paraId="4E1E897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（1）网信、</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lang w:val="en-US" w:eastAsia="zh-CN"/>
        </w:rPr>
        <w:t>及其他相关部门应迅速收集、整理网络、市民热线等舆情社情信息，及时核实、解决公众反映的问题，予以积极回应和正面引导。对于不实信息，及时澄清并发布准确信息。</w:t>
      </w:r>
    </w:p>
    <w:p w14:paraId="6B926B1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（2）对于可能产生国际影响的突发环境事件，对外报道工作由市级部门组织开展。</w:t>
      </w:r>
    </w:p>
    <w:p w14:paraId="30631359">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30" w:name="_Toc18103"/>
      <w:bookmarkStart w:id="331" w:name="_Toc16986"/>
      <w:bookmarkStart w:id="332" w:name="_Toc29848"/>
      <w:bookmarkStart w:id="333" w:name="_Toc8763"/>
      <w:r>
        <w:rPr>
          <w:rFonts w:hint="eastAsia" w:ascii="楷体_GB2312" w:hAnsi="楷体_GB2312" w:eastAsia="楷体_GB2312" w:cs="楷体_GB2312"/>
          <w:b w:val="0"/>
          <w:bCs/>
          <w:snapToGrid w:val="0"/>
          <w:color w:val="000000"/>
          <w:kern w:val="0"/>
          <w:sz w:val="32"/>
          <w:szCs w:val="32"/>
          <w:highlight w:val="none"/>
          <w:lang w:val="en-US" w:eastAsia="zh-CN" w:bidi="ar-SA"/>
        </w:rPr>
        <w:t>4.7 应急结束</w:t>
      </w:r>
      <w:bookmarkEnd w:id="330"/>
      <w:bookmarkEnd w:id="331"/>
      <w:bookmarkEnd w:id="332"/>
      <w:bookmarkEnd w:id="333"/>
    </w:p>
    <w:p w14:paraId="2CACD48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34" w:name="_Toc11119"/>
      <w:bookmarkStart w:id="335" w:name="_Toc14494"/>
      <w:bookmarkStart w:id="336" w:name="_Toc8157"/>
      <w:bookmarkStart w:id="337" w:name="_Toc5192"/>
      <w:bookmarkStart w:id="338" w:name="_Toc30050"/>
      <w:r>
        <w:rPr>
          <w:rFonts w:hint="eastAsia" w:ascii="仿宋_GB2312" w:hAnsi="仿宋_GB2312" w:eastAsia="仿宋_GB2312" w:cs="仿宋_GB2312"/>
          <w:sz w:val="32"/>
          <w:szCs w:val="32"/>
          <w:highlight w:val="none"/>
          <w:lang w:val="en-US" w:eastAsia="zh-CN"/>
        </w:rPr>
        <w:t>4.7.1 结束条件</w:t>
      </w:r>
      <w:bookmarkEnd w:id="334"/>
      <w:bookmarkEnd w:id="335"/>
      <w:bookmarkEnd w:id="336"/>
      <w:bookmarkEnd w:id="337"/>
      <w:bookmarkEnd w:id="338"/>
    </w:p>
    <w:p w14:paraId="5C41349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符合下列情形之一的，应急结束：</w:t>
      </w:r>
    </w:p>
    <w:p w14:paraId="42AA17D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（1）事件现场危害得到控制或基本消除，事件发生条件已经消除，各种专业应急处置行动已无继续的必要；</w:t>
      </w:r>
    </w:p>
    <w:p w14:paraId="457FC95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（2）环境污染物已经消除，或处置过程中所造成的环境污染已纳入日常监管；</w:t>
      </w:r>
    </w:p>
    <w:p w14:paraId="02A887F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（3）确认事发地人群、环境的各项主要健康、环境、生物及生态指标已经恢复到常态水平；</w:t>
      </w:r>
    </w:p>
    <w:p w14:paraId="1265282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（4）采取了必要的防护措施，以保护公众免受再次危害，并使事件可能引起的中长期影响趋于合理且尽量低的水平；</w:t>
      </w:r>
    </w:p>
    <w:p w14:paraId="29C62A7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（5）专家技术组认为可终止的情形。</w:t>
      </w:r>
    </w:p>
    <w:p w14:paraId="6AE1D1C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339" w:name="_Toc14378"/>
      <w:bookmarkStart w:id="340" w:name="_Toc32128"/>
      <w:bookmarkStart w:id="341" w:name="_Toc19183"/>
      <w:bookmarkStart w:id="342" w:name="_Toc8992"/>
      <w:bookmarkStart w:id="343" w:name="_Toc16064"/>
      <w:bookmarkStart w:id="344" w:name="_Toc29038"/>
      <w:bookmarkStart w:id="345" w:name="_Toc3697"/>
      <w:bookmarkStart w:id="346" w:name="_Toc27357"/>
      <w:bookmarkStart w:id="347" w:name="_Toc31909"/>
      <w:r>
        <w:rPr>
          <w:rFonts w:hint="eastAsia" w:ascii="仿宋_GB2312" w:hAnsi="仿宋_GB2312" w:eastAsia="仿宋_GB2312" w:cs="仿宋_GB2312"/>
          <w:sz w:val="32"/>
          <w:szCs w:val="32"/>
          <w:highlight w:val="none"/>
          <w:lang w:val="en-US" w:eastAsia="zh-CN"/>
        </w:rPr>
        <w:t>4.7.2 宣布结束</w:t>
      </w:r>
      <w:bookmarkEnd w:id="339"/>
      <w:bookmarkEnd w:id="340"/>
      <w:bookmarkEnd w:id="341"/>
      <w:bookmarkEnd w:id="342"/>
      <w:bookmarkEnd w:id="343"/>
      <w:bookmarkEnd w:id="344"/>
      <w:bookmarkEnd w:id="345"/>
      <w:bookmarkEnd w:id="346"/>
      <w:bookmarkEnd w:id="347"/>
    </w:p>
    <w:p w14:paraId="1D07327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谁启动谁结束”的原则。一般及以下突发环境事件由启动响应的区环境应急工作协调小组宣布响应结束；较大及以上突发环境事件由市临时指挥部按程序批准后宣布响应结束。必要时，应及时向社会发布响应结束消息。应急响应结束后，必要时应继续进行一定频次的环境监测。</w:t>
      </w:r>
    </w:p>
    <w:p w14:paraId="3C80E872">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348" w:name="_Toc11659"/>
      <w:bookmarkStart w:id="349" w:name="_Toc10796"/>
      <w:bookmarkStart w:id="350" w:name="_Toc27980"/>
      <w:bookmarkStart w:id="351" w:name="_Toc21498"/>
      <w:bookmarkStart w:id="352" w:name="_Toc2357"/>
      <w:bookmarkStart w:id="353" w:name="_Toc29012"/>
      <w:bookmarkStart w:id="354" w:name="_Toc27356"/>
      <w:bookmarkStart w:id="355" w:name="_Toc3663"/>
      <w:bookmarkStart w:id="356" w:name="_Toc15930"/>
      <w:r>
        <w:rPr>
          <w:rFonts w:hint="eastAsia" w:ascii="黑体" w:hAnsi="黑体" w:eastAsia="黑体" w:cs="黑体"/>
          <w:b w:val="0"/>
          <w:bCs w:val="0"/>
          <w:snapToGrid/>
          <w:color w:val="auto"/>
          <w:sz w:val="32"/>
          <w:szCs w:val="44"/>
          <w:highlight w:val="none"/>
        </w:rPr>
        <w:t>5 后期工作</w:t>
      </w:r>
      <w:bookmarkEnd w:id="348"/>
      <w:bookmarkEnd w:id="349"/>
      <w:bookmarkEnd w:id="350"/>
      <w:bookmarkEnd w:id="351"/>
      <w:bookmarkEnd w:id="352"/>
      <w:bookmarkEnd w:id="353"/>
      <w:bookmarkEnd w:id="354"/>
      <w:bookmarkEnd w:id="355"/>
      <w:bookmarkEnd w:id="356"/>
    </w:p>
    <w:p w14:paraId="500AC3BA">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57" w:name="_Toc24129"/>
      <w:bookmarkStart w:id="358" w:name="_Toc1558"/>
      <w:bookmarkStart w:id="359" w:name="_Toc123245544"/>
      <w:bookmarkStart w:id="360" w:name="_Toc21335"/>
      <w:bookmarkStart w:id="361" w:name="_Toc15117"/>
      <w:bookmarkStart w:id="362" w:name="_Toc22763"/>
      <w:r>
        <w:rPr>
          <w:rFonts w:hint="eastAsia" w:ascii="楷体_GB2312" w:hAnsi="楷体_GB2312" w:eastAsia="楷体_GB2312" w:cs="楷体_GB2312"/>
          <w:b w:val="0"/>
          <w:bCs/>
          <w:snapToGrid w:val="0"/>
          <w:color w:val="000000"/>
          <w:kern w:val="0"/>
          <w:sz w:val="32"/>
          <w:szCs w:val="32"/>
          <w:highlight w:val="none"/>
          <w:lang w:val="en-US" w:eastAsia="zh-CN" w:bidi="ar-SA"/>
        </w:rPr>
        <w:t>5.1 善后处置</w:t>
      </w:r>
      <w:bookmarkEnd w:id="357"/>
      <w:bookmarkEnd w:id="358"/>
      <w:bookmarkEnd w:id="359"/>
      <w:bookmarkEnd w:id="360"/>
      <w:bookmarkEnd w:id="361"/>
      <w:bookmarkEnd w:id="362"/>
    </w:p>
    <w:p w14:paraId="54C70229">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宣布响应结束后，在安全应急委统一指挥下，由区环境应急协调小组相关部门、有关单位、事发地</w:t>
      </w:r>
      <w:r>
        <w:rPr>
          <w:rFonts w:hint="eastAsia" w:ascii="仿宋_GB2312" w:hAnsi="仿宋_GB2312" w:cs="仿宋_GB2312"/>
          <w:sz w:val="32"/>
          <w:szCs w:val="32"/>
          <w:highlight w:val="none"/>
          <w:lang w:val="en-US" w:eastAsia="zh-CN"/>
        </w:rPr>
        <w:t>街道办事处（镇政府）</w:t>
      </w:r>
      <w:r>
        <w:rPr>
          <w:rFonts w:hint="eastAsia" w:ascii="仿宋_GB2312" w:hAnsi="仿宋_GB2312" w:eastAsia="仿宋_GB2312" w:cs="仿宋_GB2312"/>
          <w:sz w:val="32"/>
          <w:szCs w:val="32"/>
          <w:highlight w:val="none"/>
          <w:lang w:val="en-US" w:eastAsia="zh-CN"/>
        </w:rPr>
        <w:t>负责善后处置工作，及时制订恢复重建计划和善后处置措施，并组织实施。由处置主责部门会同财政、发展改革部门制定应由政府补偿的补偿标准和办法，管委会做好征用补偿。</w:t>
      </w:r>
    </w:p>
    <w:p w14:paraId="17B6A221">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63" w:name="_Toc26708"/>
      <w:bookmarkStart w:id="364" w:name="_Toc12091"/>
      <w:bookmarkStart w:id="365" w:name="_Toc16713"/>
      <w:bookmarkStart w:id="366" w:name="_Toc27678"/>
      <w:r>
        <w:rPr>
          <w:rFonts w:hint="eastAsia" w:ascii="楷体_GB2312" w:hAnsi="楷体_GB2312" w:eastAsia="楷体_GB2312" w:cs="楷体_GB2312"/>
          <w:b w:val="0"/>
          <w:bCs/>
          <w:snapToGrid w:val="0"/>
          <w:color w:val="000000"/>
          <w:kern w:val="0"/>
          <w:sz w:val="32"/>
          <w:szCs w:val="32"/>
          <w:highlight w:val="none"/>
          <w:lang w:val="en-US" w:eastAsia="zh-CN" w:bidi="ar-SA"/>
        </w:rPr>
        <w:t>5.2 损害评估</w:t>
      </w:r>
      <w:bookmarkEnd w:id="363"/>
      <w:bookmarkEnd w:id="364"/>
      <w:bookmarkEnd w:id="365"/>
      <w:bookmarkEnd w:id="366"/>
    </w:p>
    <w:p w14:paraId="3D6B97D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按照生态环境部有关规定，</w:t>
      </w: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lang w:val="en-US" w:eastAsia="zh-CN"/>
        </w:rPr>
        <w:t>根据需要组织开展突发环境事件污染损害评估工作，并将评估结果向社会公布。评估结论作为事件调查处理、损害赔偿、环境修复和生态恢复重建的依据。</w:t>
      </w:r>
    </w:p>
    <w:p w14:paraId="6C9CC628">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67" w:name="_Toc23223"/>
      <w:bookmarkStart w:id="368" w:name="_Toc123245546"/>
      <w:bookmarkStart w:id="369" w:name="_Toc9192"/>
      <w:bookmarkStart w:id="370" w:name="_Toc19737"/>
      <w:bookmarkStart w:id="371" w:name="_Toc12140"/>
      <w:bookmarkStart w:id="372" w:name="_Toc9325"/>
      <w:r>
        <w:rPr>
          <w:rFonts w:hint="eastAsia" w:ascii="楷体_GB2312" w:hAnsi="楷体_GB2312" w:eastAsia="楷体_GB2312" w:cs="楷体_GB2312"/>
          <w:b w:val="0"/>
          <w:bCs/>
          <w:snapToGrid w:val="0"/>
          <w:color w:val="000000"/>
          <w:kern w:val="0"/>
          <w:sz w:val="32"/>
          <w:szCs w:val="32"/>
          <w:highlight w:val="none"/>
          <w:lang w:val="en-US" w:eastAsia="zh-CN" w:bidi="ar-SA"/>
        </w:rPr>
        <w:t>5.3 事件调查</w:t>
      </w:r>
      <w:bookmarkEnd w:id="367"/>
      <w:bookmarkEnd w:id="368"/>
      <w:bookmarkEnd w:id="369"/>
      <w:bookmarkEnd w:id="370"/>
      <w:bookmarkEnd w:id="371"/>
      <w:bookmarkEnd w:id="372"/>
    </w:p>
    <w:p w14:paraId="4484195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突发环境事件发生后，根据有关规定，由城市运行局牵头，可会同监察机关及相关部门，组织开展事件调查处理及责任追究工作，查明事件原因和性质，提出整改防范措施和处理建议。</w:t>
      </w:r>
    </w:p>
    <w:p w14:paraId="0446A2C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管委会负责组织一般及以下突发环境事件的调查处理，并配合市级部门开展较大及以上突发环境事件的调查处理。调查工作机构可根据需要聘请有关专家参与。</w:t>
      </w:r>
    </w:p>
    <w:p w14:paraId="208831B2">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73" w:name="_Toc29999"/>
      <w:bookmarkStart w:id="374" w:name="_Toc13440"/>
      <w:bookmarkStart w:id="375" w:name="_Toc18236"/>
      <w:bookmarkStart w:id="376" w:name="_Toc7630"/>
      <w:r>
        <w:rPr>
          <w:rFonts w:hint="eastAsia" w:ascii="楷体_GB2312" w:hAnsi="楷体_GB2312" w:eastAsia="楷体_GB2312" w:cs="楷体_GB2312"/>
          <w:b w:val="0"/>
          <w:bCs/>
          <w:snapToGrid w:val="0"/>
          <w:color w:val="000000"/>
          <w:kern w:val="0"/>
          <w:sz w:val="32"/>
          <w:szCs w:val="32"/>
          <w:highlight w:val="none"/>
          <w:lang w:val="en-US" w:eastAsia="zh-CN" w:bidi="ar-SA"/>
        </w:rPr>
        <w:t>5.4 总结评估</w:t>
      </w:r>
      <w:bookmarkEnd w:id="373"/>
      <w:bookmarkEnd w:id="374"/>
      <w:bookmarkEnd w:id="375"/>
      <w:bookmarkEnd w:id="376"/>
    </w:p>
    <w:p w14:paraId="2A128B42">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一般突发环境事件应急处置结束后，由经开区城市运行局牵头组织开展应对工作总结评估，总结评估报告报市环境应急协调小组。</w:t>
      </w:r>
    </w:p>
    <w:p w14:paraId="691FDB6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评估报告内容包括：突发环境事件等级、发生的原因、过程，对事前、事发、事中、事后全过程应对工作进行全面客观的分析和评估，针对存在的问题总结经验教训，提出改进建议等。</w:t>
      </w:r>
    </w:p>
    <w:p w14:paraId="3A667CB2">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77" w:name="_Toc24734"/>
      <w:bookmarkStart w:id="378" w:name="_Toc24977"/>
      <w:bookmarkStart w:id="379" w:name="_Toc25904"/>
      <w:bookmarkStart w:id="380" w:name="_Toc27328"/>
      <w:r>
        <w:rPr>
          <w:rFonts w:hint="eastAsia" w:ascii="楷体_GB2312" w:hAnsi="楷体_GB2312" w:eastAsia="楷体_GB2312" w:cs="楷体_GB2312"/>
          <w:b w:val="0"/>
          <w:bCs/>
          <w:snapToGrid w:val="0"/>
          <w:color w:val="000000"/>
          <w:kern w:val="0"/>
          <w:sz w:val="32"/>
          <w:szCs w:val="32"/>
          <w:highlight w:val="none"/>
          <w:lang w:val="en-US" w:eastAsia="zh-CN" w:bidi="ar-SA"/>
        </w:rPr>
        <w:t>5.5 奖励处罚</w:t>
      </w:r>
      <w:bookmarkEnd w:id="377"/>
      <w:bookmarkEnd w:id="378"/>
      <w:bookmarkEnd w:id="379"/>
      <w:bookmarkEnd w:id="380"/>
    </w:p>
    <w:p w14:paraId="3BCDEC03">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委、管委会根据有关规定，对突发环境事件处置成绩突出的组织和个人，按照有关规定予以表彰或奖励；对玩忽职守、保障不力，给国家和人民群众生命财产造成损失的单位和个人，依照有关法律法规实行责任追究，构成犯罪的，依法追究刑事责任。</w:t>
      </w:r>
      <w:bookmarkStart w:id="381" w:name="_Toc27624"/>
      <w:bookmarkStart w:id="382" w:name="_Toc13396"/>
      <w:bookmarkStart w:id="383" w:name="_Toc30417"/>
      <w:bookmarkStart w:id="384" w:name="_Toc10097"/>
      <w:bookmarkStart w:id="385" w:name="_Toc5670"/>
      <w:bookmarkStart w:id="386" w:name="_Toc330179116"/>
      <w:bookmarkStart w:id="387" w:name="_Toc116767822"/>
      <w:bookmarkStart w:id="388" w:name="_Toc13323"/>
      <w:bookmarkStart w:id="389" w:name="_Toc7101"/>
      <w:bookmarkStart w:id="390" w:name="_Toc6209"/>
      <w:bookmarkStart w:id="391" w:name="_Toc23056"/>
      <w:bookmarkStart w:id="392" w:name="_Toc21429"/>
    </w:p>
    <w:p w14:paraId="172A7165">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393" w:name="_Toc546"/>
      <w:r>
        <w:rPr>
          <w:rFonts w:hint="eastAsia" w:ascii="黑体" w:hAnsi="黑体" w:eastAsia="黑体" w:cs="黑体"/>
          <w:b w:val="0"/>
          <w:bCs w:val="0"/>
          <w:snapToGrid/>
          <w:color w:val="auto"/>
          <w:sz w:val="32"/>
          <w:szCs w:val="44"/>
          <w:highlight w:val="none"/>
        </w:rPr>
        <w:t>6 应急保障</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016AD66E">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394" w:name="_Toc7980"/>
      <w:bookmarkStart w:id="395" w:name="_Toc26442"/>
      <w:bookmarkStart w:id="396" w:name="_Toc6628"/>
      <w:bookmarkStart w:id="397" w:name="_Toc2239"/>
      <w:bookmarkStart w:id="398" w:name="_Toc27985"/>
      <w:bookmarkStart w:id="399" w:name="_Toc1864214643"/>
      <w:bookmarkStart w:id="400" w:name="_Toc222658764"/>
      <w:bookmarkStart w:id="401" w:name="_Toc474"/>
      <w:bookmarkStart w:id="402" w:name="_Toc31749"/>
      <w:bookmarkStart w:id="403" w:name="_Toc7673"/>
      <w:bookmarkStart w:id="404" w:name="_Toc29617"/>
      <w:bookmarkStart w:id="405" w:name="_Toc25621"/>
      <w:bookmarkStart w:id="406" w:name="_Toc24827"/>
      <w:r>
        <w:rPr>
          <w:rFonts w:hint="eastAsia" w:ascii="楷体_GB2312" w:hAnsi="楷体_GB2312" w:eastAsia="楷体_GB2312" w:cs="楷体_GB2312"/>
          <w:b w:val="0"/>
          <w:bCs/>
          <w:snapToGrid w:val="0"/>
          <w:color w:val="000000"/>
          <w:kern w:val="0"/>
          <w:sz w:val="32"/>
          <w:szCs w:val="32"/>
          <w:highlight w:val="none"/>
          <w:lang w:val="en-US" w:eastAsia="zh-CN" w:bidi="ar-SA"/>
        </w:rPr>
        <w:t xml:space="preserve">6.1 </w:t>
      </w:r>
      <w:bookmarkEnd w:id="394"/>
      <w:bookmarkEnd w:id="395"/>
      <w:bookmarkEnd w:id="396"/>
      <w:bookmarkEnd w:id="397"/>
      <w:bookmarkEnd w:id="398"/>
      <w:bookmarkEnd w:id="399"/>
      <w:bookmarkEnd w:id="400"/>
      <w:bookmarkEnd w:id="401"/>
      <w:bookmarkEnd w:id="402"/>
      <w:r>
        <w:rPr>
          <w:rFonts w:hint="eastAsia" w:ascii="楷体_GB2312" w:hAnsi="楷体_GB2312" w:eastAsia="楷体_GB2312" w:cs="楷体_GB2312"/>
          <w:b w:val="0"/>
          <w:bCs/>
          <w:snapToGrid w:val="0"/>
          <w:color w:val="000000"/>
          <w:kern w:val="0"/>
          <w:sz w:val="32"/>
          <w:szCs w:val="32"/>
          <w:highlight w:val="none"/>
          <w:lang w:val="en-US" w:eastAsia="zh-CN" w:bidi="ar-SA"/>
        </w:rPr>
        <w:t>队伍保障</w:t>
      </w:r>
      <w:bookmarkEnd w:id="403"/>
      <w:bookmarkEnd w:id="404"/>
      <w:bookmarkEnd w:id="405"/>
      <w:bookmarkEnd w:id="406"/>
    </w:p>
    <w:p w14:paraId="060B12A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本区突发环境事件的特点，应依托大型企业及社会第三方力量，组建环境应急处置救援队伍。加强对应急救援队伍的管理，规范调动程序和常规管理内容，提高突发环境事件快速响应及应急处置能力。加强环境应急专家管理，发挥环境应急专家组作用，为突发环境事件应急处置方案制定、污染损害评估和调查处理工作提供决策建议。</w:t>
      </w:r>
    </w:p>
    <w:p w14:paraId="40E977D8">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07" w:name="_Toc7605"/>
      <w:bookmarkStart w:id="408" w:name="_Toc10556"/>
      <w:bookmarkStart w:id="409" w:name="_Toc20049"/>
      <w:bookmarkStart w:id="410" w:name="_Toc10945"/>
      <w:r>
        <w:rPr>
          <w:rFonts w:hint="eastAsia" w:ascii="楷体_GB2312" w:hAnsi="楷体_GB2312" w:eastAsia="楷体_GB2312" w:cs="楷体_GB2312"/>
          <w:b w:val="0"/>
          <w:bCs/>
          <w:snapToGrid w:val="0"/>
          <w:color w:val="000000"/>
          <w:kern w:val="0"/>
          <w:sz w:val="32"/>
          <w:szCs w:val="32"/>
          <w:highlight w:val="none"/>
          <w:lang w:val="en-US" w:eastAsia="zh-CN" w:bidi="ar-SA"/>
        </w:rPr>
        <w:t>6.2 技术保障</w:t>
      </w:r>
      <w:bookmarkEnd w:id="407"/>
      <w:bookmarkEnd w:id="408"/>
      <w:bookmarkEnd w:id="409"/>
      <w:bookmarkEnd w:id="410"/>
    </w:p>
    <w:p w14:paraId="4CEF5C0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城市运行局</w:t>
      </w:r>
      <w:r>
        <w:rPr>
          <w:rFonts w:hint="eastAsia" w:ascii="仿宋_GB2312" w:hAnsi="仿宋_GB2312" w:eastAsia="仿宋_GB2312" w:cs="仿宋_GB2312"/>
          <w:sz w:val="32"/>
          <w:szCs w:val="32"/>
          <w:highlight w:val="none"/>
          <w:lang w:val="en-US" w:eastAsia="zh-CN"/>
        </w:rPr>
        <w:t>加强突发环境事件风险防控与应急处置的技术研究。完善应急指挥系统建设，实现现场信息获取、污染态势研判、应急资源调配、多方视频会商等功能。加强监测能力规划、建设与评估等。建立突发环境事件应急专家信息库，强化人才保障。</w:t>
      </w:r>
    </w:p>
    <w:p w14:paraId="38F07B3A">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11" w:name="_Toc32709"/>
      <w:bookmarkStart w:id="412" w:name="_Toc32541"/>
      <w:bookmarkStart w:id="413" w:name="_Toc4892"/>
      <w:bookmarkStart w:id="414" w:name="_Toc15890"/>
      <w:r>
        <w:rPr>
          <w:rFonts w:hint="eastAsia" w:ascii="楷体_GB2312" w:hAnsi="楷体_GB2312" w:eastAsia="楷体_GB2312" w:cs="楷体_GB2312"/>
          <w:b w:val="0"/>
          <w:bCs/>
          <w:snapToGrid w:val="0"/>
          <w:color w:val="000000"/>
          <w:kern w:val="0"/>
          <w:sz w:val="32"/>
          <w:szCs w:val="32"/>
          <w:highlight w:val="none"/>
          <w:lang w:val="en-US" w:eastAsia="zh-CN" w:bidi="ar-SA"/>
        </w:rPr>
        <w:t>6.3 通信、交通与运输保障</w:t>
      </w:r>
      <w:bookmarkEnd w:id="411"/>
      <w:bookmarkEnd w:id="412"/>
      <w:bookmarkEnd w:id="413"/>
      <w:bookmarkEnd w:id="414"/>
    </w:p>
    <w:p w14:paraId="5DC7C39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管委会相关部门要和通信部门建立健全突发环境事件应急通信保障体系，确保应急期间通信联络和信息传递需要；和市级、相邻区交通运输部门加强与公路、铁路、航空等部门的沟通联系，保障应急响应所需人员、物资、装备、器材等的运输。和市级公安部门加强应急交通管理，保障运送伤病员、应急救援人员、物资、装备、器材车辆的优先通行。</w:t>
      </w:r>
    </w:p>
    <w:p w14:paraId="3286D59B">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15" w:name="_Toc18948"/>
      <w:bookmarkStart w:id="416" w:name="_Toc15030"/>
      <w:bookmarkStart w:id="417" w:name="_Toc23391"/>
      <w:bookmarkStart w:id="418" w:name="_Toc17054"/>
      <w:r>
        <w:rPr>
          <w:rFonts w:hint="eastAsia" w:ascii="楷体_GB2312" w:hAnsi="楷体_GB2312" w:eastAsia="楷体_GB2312" w:cs="楷体_GB2312"/>
          <w:b w:val="0"/>
          <w:bCs/>
          <w:snapToGrid w:val="0"/>
          <w:color w:val="000000"/>
          <w:kern w:val="0"/>
          <w:sz w:val="32"/>
          <w:szCs w:val="32"/>
          <w:highlight w:val="none"/>
          <w:lang w:val="en-US" w:eastAsia="zh-CN" w:bidi="ar-SA"/>
        </w:rPr>
        <w:t>6.4 装备物资保障</w:t>
      </w:r>
      <w:bookmarkEnd w:id="415"/>
      <w:bookmarkEnd w:id="416"/>
      <w:bookmarkEnd w:id="417"/>
      <w:bookmarkEnd w:id="418"/>
    </w:p>
    <w:p w14:paraId="7BD92FC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运行局要推动建立与北京经济技术开发区环境风险特点相适应的环境应急物资储备体系，建立政府储备、企业等社会机构代储、物资生产企业保障等多形式储备共享体系。完善物资信息动态化管理，满足事件应对所需物资储备、生产信息查询及物资调用需求。要结合实际加强应急指挥、应急交通、应急防护、应急监测、污染研判、应急处置等类型装备配备。</w:t>
      </w:r>
    </w:p>
    <w:p w14:paraId="4D20C43F">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19" w:name="_Toc7396"/>
      <w:bookmarkStart w:id="420" w:name="_Toc25682"/>
      <w:bookmarkStart w:id="421" w:name="_Toc18307"/>
      <w:bookmarkStart w:id="422" w:name="_Toc9768"/>
      <w:r>
        <w:rPr>
          <w:rFonts w:hint="eastAsia" w:ascii="楷体_GB2312" w:hAnsi="楷体_GB2312" w:eastAsia="楷体_GB2312" w:cs="楷体_GB2312"/>
          <w:b w:val="0"/>
          <w:bCs/>
          <w:snapToGrid w:val="0"/>
          <w:color w:val="000000"/>
          <w:kern w:val="0"/>
          <w:sz w:val="32"/>
          <w:szCs w:val="32"/>
          <w:highlight w:val="none"/>
          <w:lang w:val="en-US" w:eastAsia="zh-CN" w:bidi="ar-SA"/>
        </w:rPr>
        <w:t>6.5 资金保障</w:t>
      </w:r>
      <w:bookmarkEnd w:id="419"/>
      <w:bookmarkEnd w:id="420"/>
      <w:bookmarkEnd w:id="421"/>
      <w:bookmarkEnd w:id="422"/>
    </w:p>
    <w:p w14:paraId="56AFCC5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突发环境事件应急处置所需经费由事件责任单位承担。财政审计局可根据主责部门申报的预算合理安排相关经费，当部门预算经费不能满足需要时，应由主责部门按照相关规定追加项目预算。</w:t>
      </w:r>
    </w:p>
    <w:p w14:paraId="34D17D6E">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23" w:name="_Toc28862"/>
      <w:bookmarkStart w:id="424" w:name="_Toc9626"/>
      <w:bookmarkStart w:id="425" w:name="_Toc17799"/>
      <w:bookmarkStart w:id="426" w:name="_Toc31892"/>
      <w:r>
        <w:rPr>
          <w:rFonts w:hint="eastAsia" w:ascii="楷体_GB2312" w:hAnsi="楷体_GB2312" w:eastAsia="楷体_GB2312" w:cs="楷体_GB2312"/>
          <w:b w:val="0"/>
          <w:bCs/>
          <w:snapToGrid w:val="0"/>
          <w:color w:val="000000"/>
          <w:kern w:val="0"/>
          <w:sz w:val="32"/>
          <w:szCs w:val="32"/>
          <w:highlight w:val="none"/>
          <w:lang w:val="en-US" w:eastAsia="zh-CN" w:bidi="ar-SA"/>
        </w:rPr>
        <w:t>6.6 机制保障</w:t>
      </w:r>
      <w:bookmarkEnd w:id="423"/>
      <w:bookmarkEnd w:id="424"/>
      <w:bookmarkEnd w:id="425"/>
      <w:bookmarkEnd w:id="426"/>
    </w:p>
    <w:p w14:paraId="18FA656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相关部门应根据区域或流域环境风险防范需要，加强与相近、相邻区域生态环境部门的互动，健全风险防范和应急联动机制；根据突发环境事件类型的不同，生态环境、交通、应急、消防、水务、公安、规自等部门要加强沟通协作，建立信息通报、联合应对、共训共练、资源共享的应急联动机制，稳妥处置各类事件。</w:t>
      </w:r>
    </w:p>
    <w:p w14:paraId="2621F613">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27" w:name="_Toc5200"/>
      <w:bookmarkStart w:id="428" w:name="_Toc6094"/>
      <w:bookmarkStart w:id="429" w:name="_Toc1402"/>
      <w:bookmarkStart w:id="430" w:name="_Toc12402"/>
      <w:r>
        <w:rPr>
          <w:rFonts w:hint="eastAsia" w:ascii="楷体_GB2312" w:hAnsi="楷体_GB2312" w:eastAsia="楷体_GB2312" w:cs="楷体_GB2312"/>
          <w:b w:val="0"/>
          <w:bCs/>
          <w:snapToGrid w:val="0"/>
          <w:color w:val="000000"/>
          <w:kern w:val="0"/>
          <w:sz w:val="32"/>
          <w:szCs w:val="32"/>
          <w:highlight w:val="none"/>
          <w:lang w:val="en-US" w:eastAsia="zh-CN" w:bidi="ar-SA"/>
        </w:rPr>
        <w:t>6.7 应急值守</w:t>
      </w:r>
      <w:bookmarkEnd w:id="427"/>
      <w:bookmarkEnd w:id="428"/>
      <w:bookmarkEnd w:id="429"/>
      <w:bookmarkEnd w:id="430"/>
    </w:p>
    <w:p w14:paraId="3E913A8A">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环境应急协调小组成员单位完善日常值班与值守应急相结合的接报、出警机制，并严格组织实施。充分做好值守状态时的人员、设备、车辆、通讯、资料及后勤等准备工作，做到常态管理与非常态管理的全面、有效衔接，确保发生突发环境事件时现场处置工作顺利实施。</w:t>
      </w:r>
      <w:bookmarkStart w:id="431" w:name="_Toc7012"/>
      <w:bookmarkStart w:id="432" w:name="_Toc19327"/>
      <w:bookmarkStart w:id="433" w:name="_Toc9445"/>
      <w:bookmarkStart w:id="434" w:name="_Toc3581"/>
      <w:bookmarkStart w:id="435" w:name="_Toc19323"/>
      <w:bookmarkStart w:id="436" w:name="_Toc18323"/>
      <w:bookmarkStart w:id="437" w:name="_Toc28701"/>
      <w:bookmarkStart w:id="438" w:name="_Toc23700"/>
      <w:bookmarkStart w:id="439" w:name="_Toc14023"/>
      <w:bookmarkStart w:id="440" w:name="_Toc1722215939"/>
      <w:bookmarkStart w:id="441" w:name="_Toc1677420626"/>
      <w:bookmarkStart w:id="442" w:name="_Toc21438"/>
    </w:p>
    <w:p w14:paraId="0389CABC">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443" w:name="_Toc18533"/>
      <w:r>
        <w:rPr>
          <w:rFonts w:hint="eastAsia" w:ascii="黑体" w:hAnsi="黑体" w:eastAsia="黑体" w:cs="黑体"/>
          <w:b w:val="0"/>
          <w:bCs w:val="0"/>
          <w:snapToGrid/>
          <w:color w:val="auto"/>
          <w:sz w:val="32"/>
          <w:szCs w:val="44"/>
          <w:highlight w:val="none"/>
        </w:rPr>
        <w:t xml:space="preserve">7 </w:t>
      </w:r>
      <w:bookmarkEnd w:id="431"/>
      <w:bookmarkEnd w:id="432"/>
      <w:bookmarkEnd w:id="433"/>
      <w:r>
        <w:rPr>
          <w:rFonts w:hint="eastAsia" w:ascii="黑体" w:hAnsi="黑体" w:eastAsia="黑体" w:cs="黑体"/>
          <w:b w:val="0"/>
          <w:bCs w:val="0"/>
          <w:snapToGrid/>
          <w:color w:val="auto"/>
          <w:sz w:val="32"/>
          <w:szCs w:val="44"/>
          <w:highlight w:val="none"/>
        </w:rPr>
        <w:t>预案管理</w:t>
      </w:r>
      <w:bookmarkEnd w:id="434"/>
      <w:bookmarkEnd w:id="435"/>
      <w:bookmarkEnd w:id="436"/>
      <w:bookmarkEnd w:id="437"/>
      <w:bookmarkEnd w:id="438"/>
      <w:bookmarkEnd w:id="439"/>
      <w:bookmarkEnd w:id="440"/>
      <w:bookmarkEnd w:id="441"/>
      <w:bookmarkEnd w:id="442"/>
      <w:bookmarkEnd w:id="443"/>
    </w:p>
    <w:p w14:paraId="20368459">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44" w:name="_Toc12489"/>
      <w:bookmarkStart w:id="445" w:name="_Toc243143366"/>
      <w:bookmarkStart w:id="446" w:name="_Toc1498692507"/>
      <w:bookmarkStart w:id="447" w:name="_Toc19336"/>
      <w:bookmarkStart w:id="448" w:name="_Toc24365"/>
      <w:bookmarkStart w:id="449" w:name="_Toc11901"/>
      <w:bookmarkStart w:id="450" w:name="_Toc6937"/>
      <w:bookmarkStart w:id="451" w:name="_Toc6952"/>
      <w:bookmarkStart w:id="452" w:name="_Toc15885"/>
      <w:bookmarkStart w:id="453" w:name="_Toc3336"/>
      <w:r>
        <w:rPr>
          <w:rFonts w:hint="eastAsia" w:ascii="楷体_GB2312" w:hAnsi="楷体_GB2312" w:eastAsia="楷体_GB2312" w:cs="楷体_GB2312"/>
          <w:b w:val="0"/>
          <w:bCs/>
          <w:snapToGrid w:val="0"/>
          <w:color w:val="000000"/>
          <w:kern w:val="0"/>
          <w:sz w:val="32"/>
          <w:szCs w:val="32"/>
          <w:highlight w:val="none"/>
          <w:lang w:val="en-US" w:eastAsia="zh-CN" w:bidi="ar-SA"/>
        </w:rPr>
        <w:t>7.1 制订与备案</w:t>
      </w:r>
      <w:bookmarkEnd w:id="444"/>
      <w:bookmarkEnd w:id="445"/>
      <w:bookmarkEnd w:id="446"/>
      <w:bookmarkEnd w:id="447"/>
      <w:bookmarkEnd w:id="448"/>
      <w:bookmarkEnd w:id="449"/>
      <w:bookmarkEnd w:id="450"/>
      <w:bookmarkEnd w:id="451"/>
      <w:bookmarkEnd w:id="452"/>
      <w:bookmarkEnd w:id="453"/>
    </w:p>
    <w:p w14:paraId="642B523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制修订应急预案应在风险评估与应急资源调查的基础上进行，鼓励采用典型情景构建的方式模拟突发环境事件场景，分析应对流程和任务清单，评估资源能力需求，规范应对措施的针对性、有效性。</w:t>
      </w:r>
    </w:p>
    <w:p w14:paraId="2F5D7E5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各成员单位要以本预案为依据，根据各自职责制定相关部门预案，并向管委会备案。各相关企业事业单位按程序向城市运行局备案本单位突发环境事件应急预案，备案企业有关信息应向</w:t>
      </w:r>
      <w:r>
        <w:rPr>
          <w:rFonts w:hint="eastAsia" w:ascii="仿宋_GB2312" w:hAnsi="仿宋_GB2312" w:cs="仿宋_GB2312"/>
          <w:sz w:val="32"/>
          <w:szCs w:val="32"/>
          <w:highlight w:val="none"/>
          <w:lang w:val="en-US" w:eastAsia="zh-CN"/>
        </w:rPr>
        <w:t>街道办事处（镇政府）</w:t>
      </w:r>
      <w:r>
        <w:rPr>
          <w:rFonts w:hint="eastAsia" w:ascii="仿宋_GB2312" w:hAnsi="仿宋_GB2312" w:eastAsia="仿宋_GB2312" w:cs="仿宋_GB2312"/>
          <w:sz w:val="32"/>
          <w:szCs w:val="32"/>
          <w:highlight w:val="none"/>
          <w:lang w:val="en-US" w:eastAsia="zh-CN"/>
        </w:rPr>
        <w:t>进行信息共享。</w:t>
      </w:r>
    </w:p>
    <w:p w14:paraId="0B5DF74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应急预案编制单位应建立定期评估制度，分析评价应急预案的针对性、实用性和可操作性。当有关法律、法规、规章或上位预案相关规定发生重大变化，应急机构及职责发生重大调整，主要风险或应急资源发生重大变化，应急处置和应急演练中发现问题或出现的新情况时，及时对预案进行修订。</w:t>
      </w:r>
    </w:p>
    <w:p w14:paraId="1F9768F8">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54" w:name="_Toc29637"/>
      <w:bookmarkStart w:id="455" w:name="_Toc21917"/>
      <w:bookmarkStart w:id="456" w:name="_Toc18310"/>
      <w:bookmarkStart w:id="457" w:name="_Toc17341"/>
      <w:r>
        <w:rPr>
          <w:rFonts w:hint="eastAsia" w:ascii="楷体_GB2312" w:hAnsi="楷体_GB2312" w:eastAsia="楷体_GB2312" w:cs="楷体_GB2312"/>
          <w:b w:val="0"/>
          <w:bCs/>
          <w:snapToGrid w:val="0"/>
          <w:color w:val="000000"/>
          <w:kern w:val="0"/>
          <w:sz w:val="32"/>
          <w:szCs w:val="32"/>
          <w:highlight w:val="none"/>
          <w:lang w:val="en-US" w:eastAsia="zh-CN" w:bidi="ar-SA"/>
        </w:rPr>
        <w:t>7.2 应急演练</w:t>
      </w:r>
      <w:bookmarkEnd w:id="454"/>
      <w:bookmarkEnd w:id="455"/>
      <w:bookmarkEnd w:id="456"/>
      <w:bookmarkEnd w:id="457"/>
    </w:p>
    <w:p w14:paraId="3A367E3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7.2.1安全应急委办公室统筹全区应急演练工作，负责经开区重点应急演练的规划、组织协调、考核评估与综合管理，检查指导经开区综合应急演练工作，并定期组织经开区跨部门、跨行业(领域)的应急演练。本应急预案编制单位每年至少组织1次专业性或综合性的应急演练，并根据演练经验成果和存在问题及时修订应急预案。</w:t>
      </w:r>
    </w:p>
    <w:p w14:paraId="4F9BEA7F">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7.2.2区环境应急协调小组相关部门和有关单位负责本系统、本领域、本部门、本单位的应急演练工作，并加强对基层单位应急演练工作的指导，每年组织开展综合应急演练或单项应急演练；各</w:t>
      </w:r>
      <w:r>
        <w:rPr>
          <w:rFonts w:hint="eastAsia" w:ascii="仿宋_GB2312" w:hAnsi="仿宋_GB2312" w:cs="仿宋_GB2312"/>
          <w:sz w:val="32"/>
          <w:szCs w:val="32"/>
          <w:highlight w:val="none"/>
          <w:lang w:val="en-US" w:eastAsia="zh-CN"/>
        </w:rPr>
        <w:t>街道办事处（镇政府）</w:t>
      </w:r>
      <w:r>
        <w:rPr>
          <w:rFonts w:hint="eastAsia" w:ascii="仿宋_GB2312" w:hAnsi="仿宋_GB2312" w:eastAsia="仿宋_GB2312" w:cs="仿宋_GB2312"/>
          <w:sz w:val="32"/>
          <w:szCs w:val="32"/>
          <w:highlight w:val="none"/>
          <w:lang w:val="en-US" w:eastAsia="zh-CN"/>
        </w:rPr>
        <w:t>负责本辖区应急演练的综合管理工作，每年组织开展综合应急演练。</w:t>
      </w:r>
    </w:p>
    <w:p w14:paraId="6249CA5E">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7.2.3应急演练包括计划、准备、实施、评估总结和改进五个阶段。通过应急演练，发现和解决应急工作中存在的问题，落实岗位责任，熟悉应急工作的指挥机制和决策、协调、处置的程序，评价应急准备状态，培训和检验应急队伍的快速反应能力，提高各部门之间协调配合的联动机制和现场处置能力，检验应急预案的可行性并改进完善。</w:t>
      </w:r>
    </w:p>
    <w:p w14:paraId="45831D0D">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58" w:name="_Toc22040"/>
      <w:bookmarkStart w:id="459" w:name="_Toc16832"/>
      <w:bookmarkStart w:id="460" w:name="_Toc22390"/>
      <w:bookmarkStart w:id="461" w:name="_Toc22629"/>
      <w:r>
        <w:rPr>
          <w:rFonts w:hint="eastAsia" w:ascii="楷体_GB2312" w:hAnsi="楷体_GB2312" w:eastAsia="楷体_GB2312" w:cs="楷体_GB2312"/>
          <w:b w:val="0"/>
          <w:bCs/>
          <w:snapToGrid w:val="0"/>
          <w:color w:val="000000"/>
          <w:kern w:val="0"/>
          <w:sz w:val="32"/>
          <w:szCs w:val="32"/>
          <w:highlight w:val="none"/>
          <w:lang w:val="en-US" w:eastAsia="zh-CN" w:bidi="ar-SA"/>
        </w:rPr>
        <w:t>7.3 宣传与培训</w:t>
      </w:r>
      <w:bookmarkEnd w:id="458"/>
      <w:bookmarkEnd w:id="459"/>
      <w:bookmarkEnd w:id="460"/>
      <w:bookmarkEnd w:id="461"/>
    </w:p>
    <w:p w14:paraId="5D659944">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经开区城市运行局应加强环境应急宣传教育工作；区环境应急协调小组及各成员单位应组织有关部门、单位和相关人员进行突发环境事件应急培训，增强应对突发环境事件的能力。</w:t>
      </w:r>
    </w:p>
    <w:p w14:paraId="5C8101B6">
      <w:pPr>
        <w:pStyle w:val="2"/>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黑体" w:hAnsi="黑体" w:eastAsia="黑体" w:cs="黑体"/>
          <w:b w:val="0"/>
          <w:bCs w:val="0"/>
          <w:snapToGrid/>
          <w:color w:val="auto"/>
          <w:sz w:val="32"/>
          <w:szCs w:val="44"/>
          <w:highlight w:val="none"/>
        </w:rPr>
      </w:pPr>
      <w:bookmarkStart w:id="462" w:name="_Toc30205"/>
      <w:bookmarkStart w:id="463" w:name="_Toc7178"/>
      <w:bookmarkStart w:id="464" w:name="_Toc5702"/>
      <w:bookmarkStart w:id="465" w:name="_Toc103583754"/>
      <w:bookmarkStart w:id="466" w:name="_Toc9126"/>
      <w:bookmarkStart w:id="467" w:name="_Toc4301"/>
      <w:bookmarkStart w:id="468" w:name="_Toc1916009636"/>
      <w:bookmarkStart w:id="469" w:name="_Toc13032"/>
      <w:bookmarkStart w:id="470" w:name="_Toc24069"/>
      <w:bookmarkStart w:id="471" w:name="_Toc3590"/>
      <w:bookmarkStart w:id="472" w:name="_Toc145"/>
      <w:bookmarkStart w:id="473" w:name="_Toc21585"/>
      <w:bookmarkStart w:id="474" w:name="_Toc9278"/>
      <w:r>
        <w:rPr>
          <w:rFonts w:hint="eastAsia" w:ascii="黑体" w:hAnsi="黑体" w:eastAsia="黑体" w:cs="黑体"/>
          <w:b w:val="0"/>
          <w:bCs w:val="0"/>
          <w:snapToGrid/>
          <w:color w:val="auto"/>
          <w:sz w:val="32"/>
          <w:szCs w:val="44"/>
          <w:highlight w:val="none"/>
        </w:rPr>
        <w:t>8 附则</w:t>
      </w:r>
      <w:bookmarkEnd w:id="462"/>
      <w:bookmarkEnd w:id="463"/>
      <w:bookmarkEnd w:id="464"/>
      <w:bookmarkEnd w:id="465"/>
      <w:bookmarkEnd w:id="466"/>
      <w:bookmarkEnd w:id="467"/>
      <w:bookmarkEnd w:id="468"/>
      <w:bookmarkEnd w:id="469"/>
      <w:bookmarkEnd w:id="470"/>
      <w:r>
        <w:rPr>
          <w:rFonts w:hint="eastAsia" w:ascii="黑体" w:hAnsi="黑体" w:eastAsia="黑体" w:cs="黑体"/>
          <w:b w:val="0"/>
          <w:bCs w:val="0"/>
          <w:snapToGrid/>
          <w:color w:val="auto"/>
          <w:sz w:val="32"/>
          <w:szCs w:val="44"/>
          <w:highlight w:val="none"/>
        </w:rPr>
        <w:t>与附件</w:t>
      </w:r>
      <w:bookmarkEnd w:id="471"/>
      <w:bookmarkEnd w:id="472"/>
      <w:bookmarkEnd w:id="473"/>
      <w:bookmarkEnd w:id="474"/>
    </w:p>
    <w:p w14:paraId="5E87DBA3">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75" w:name="_Toc18703"/>
      <w:bookmarkStart w:id="476" w:name="_Toc856665487"/>
      <w:bookmarkStart w:id="477" w:name="_Toc10643"/>
      <w:bookmarkStart w:id="478" w:name="_Toc7606"/>
      <w:bookmarkStart w:id="479" w:name="_Toc10440"/>
      <w:bookmarkStart w:id="480" w:name="_Toc1470399408"/>
      <w:bookmarkStart w:id="481" w:name="_Toc7527"/>
      <w:bookmarkStart w:id="482" w:name="_Toc28286"/>
      <w:bookmarkStart w:id="483" w:name="_Toc3954"/>
      <w:bookmarkStart w:id="484" w:name="_Toc15623"/>
      <w:bookmarkStart w:id="485" w:name="_Toc19005"/>
      <w:bookmarkStart w:id="486" w:name="_Toc26032"/>
      <w:bookmarkStart w:id="487" w:name="_Toc18650"/>
      <w:r>
        <w:rPr>
          <w:rFonts w:hint="eastAsia" w:ascii="楷体_GB2312" w:hAnsi="楷体_GB2312" w:eastAsia="楷体_GB2312" w:cs="楷体_GB2312"/>
          <w:b w:val="0"/>
          <w:bCs/>
          <w:snapToGrid w:val="0"/>
          <w:color w:val="000000"/>
          <w:kern w:val="0"/>
          <w:sz w:val="32"/>
          <w:szCs w:val="32"/>
          <w:highlight w:val="none"/>
          <w:lang w:val="en-US" w:eastAsia="zh-CN" w:bidi="ar-SA"/>
        </w:rPr>
        <w:t>8.1 名词术语</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3599F2BB">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（1）原生事件：最先发生并在蔓延或演化过程中引发其他事件的事件。本预案中由交通事故、生产安全事故以及其他类型事件造成次生突发环境事件的，将交通事故、生产安全事故等统称为原生事件。</w:t>
      </w:r>
    </w:p>
    <w:p w14:paraId="5375265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（2）环境应急：指为避免突发环境事件的发生或减轻突发环境事件的后果，所进行的预防与应急准备、监测与预警、应急处置与救援、事后恢复与重建等应对行动。</w:t>
      </w:r>
    </w:p>
    <w:p w14:paraId="182E3226">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（3）应急监测：突发环境事件发生后至应急响应终止前，对污染物、污染物浓度、污染范围及其动态变化进行的监测。</w:t>
      </w:r>
    </w:p>
    <w:p w14:paraId="39A213C1">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（4）放射源的分类：</w:t>
      </w:r>
    </w:p>
    <w:p w14:paraId="2F82E6F5">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Ⅰ类放射源：为极高危险源，没有防护情况下，接触这类源几分钟到1小时就可致人死亡。</w:t>
      </w:r>
    </w:p>
    <w:p w14:paraId="25B2B4F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Ⅱ类放射源：为高危险源，没有防护情况下，接触这类源几小时至几天可致人死亡。</w:t>
      </w:r>
    </w:p>
    <w:p w14:paraId="774BDF4D">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Ⅲ类放射源：为危险源，没有防护情况下，接触这类源几小时就可对人造成永久性损伤，接触几天至几周也可致人死亡。</w:t>
      </w:r>
    </w:p>
    <w:p w14:paraId="68A08A2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Ⅳ类放射源：为低危险源，基本不会对人造成永久性损伤，但对长时间、近距离接触这些放射源的人可能造成可恢复的临时性损伤。</w:t>
      </w:r>
    </w:p>
    <w:p w14:paraId="63D4A08C">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Ⅴ类放射源：为极低危险源，不会对人造成永久性损伤。</w:t>
      </w:r>
    </w:p>
    <w:p w14:paraId="7EB77D37">
      <w:pPr>
        <w:pStyle w:val="3"/>
        <w:keepNext/>
        <w:keepLines/>
        <w:pageBreakBefore w:val="0"/>
        <w:widowControl w:val="0"/>
        <w:kinsoku/>
        <w:wordWrap/>
        <w:overflowPunct w:val="0"/>
        <w:topLinePunct/>
        <w:autoSpaceDE/>
        <w:autoSpaceDN/>
        <w:bidi w:val="0"/>
        <w:adjustRightInd/>
        <w:snapToGrid/>
        <w:spacing w:before="0" w:line="560" w:lineRule="exact"/>
        <w:ind w:left="0" w:leftChars="0" w:firstLine="640" w:firstLineChars="200"/>
        <w:jc w:val="both"/>
        <w:textAlignment w:val="auto"/>
        <w:rPr>
          <w:rFonts w:hint="eastAsia" w:ascii="楷体_GB2312" w:hAnsi="楷体_GB2312" w:eastAsia="楷体_GB2312" w:cs="楷体_GB2312"/>
          <w:b w:val="0"/>
          <w:bCs/>
          <w:snapToGrid w:val="0"/>
          <w:color w:val="000000"/>
          <w:kern w:val="0"/>
          <w:sz w:val="32"/>
          <w:szCs w:val="32"/>
          <w:highlight w:val="none"/>
          <w:lang w:val="en-US" w:eastAsia="zh-CN" w:bidi="ar-SA"/>
        </w:rPr>
      </w:pPr>
      <w:bookmarkStart w:id="488" w:name="_Toc17840"/>
      <w:bookmarkStart w:id="489" w:name="_Toc1908524227"/>
      <w:bookmarkStart w:id="490" w:name="_Toc1246470521"/>
      <w:bookmarkStart w:id="491" w:name="_Toc16180"/>
      <w:bookmarkStart w:id="492" w:name="_Toc7414"/>
      <w:bookmarkStart w:id="493" w:name="_Toc5987"/>
      <w:bookmarkStart w:id="494" w:name="_Toc18028"/>
      <w:bookmarkStart w:id="495" w:name="_Toc11993"/>
      <w:bookmarkStart w:id="496" w:name="_Toc31192"/>
      <w:bookmarkStart w:id="497" w:name="_Toc2984"/>
      <w:bookmarkStart w:id="498" w:name="_Toc26086"/>
      <w:bookmarkStart w:id="499" w:name="_Toc3634"/>
      <w:bookmarkStart w:id="500" w:name="_Toc4424"/>
      <w:r>
        <w:rPr>
          <w:rFonts w:hint="eastAsia" w:ascii="楷体_GB2312" w:hAnsi="楷体_GB2312" w:eastAsia="楷体_GB2312" w:cs="楷体_GB2312"/>
          <w:b w:val="0"/>
          <w:bCs/>
          <w:snapToGrid w:val="0"/>
          <w:color w:val="000000"/>
          <w:kern w:val="0"/>
          <w:sz w:val="32"/>
          <w:szCs w:val="32"/>
          <w:highlight w:val="none"/>
          <w:lang w:val="en-US" w:eastAsia="zh-CN" w:bidi="ar-SA"/>
        </w:rPr>
        <w:t xml:space="preserve">8.2 </w:t>
      </w:r>
      <w:bookmarkEnd w:id="488"/>
      <w:bookmarkEnd w:id="489"/>
      <w:bookmarkEnd w:id="490"/>
      <w:bookmarkEnd w:id="491"/>
      <w:bookmarkEnd w:id="492"/>
      <w:bookmarkEnd w:id="493"/>
      <w:bookmarkEnd w:id="494"/>
      <w:bookmarkEnd w:id="495"/>
      <w:bookmarkEnd w:id="496"/>
      <w:r>
        <w:rPr>
          <w:rFonts w:hint="eastAsia" w:ascii="楷体_GB2312" w:hAnsi="楷体_GB2312" w:eastAsia="楷体_GB2312" w:cs="楷体_GB2312"/>
          <w:b w:val="0"/>
          <w:bCs/>
          <w:snapToGrid w:val="0"/>
          <w:color w:val="000000"/>
          <w:kern w:val="0"/>
          <w:sz w:val="32"/>
          <w:szCs w:val="32"/>
          <w:highlight w:val="none"/>
          <w:lang w:val="en-US" w:eastAsia="zh-CN" w:bidi="ar-SA"/>
        </w:rPr>
        <w:t>预案说明</w:t>
      </w:r>
      <w:bookmarkEnd w:id="497"/>
      <w:bookmarkEnd w:id="498"/>
      <w:bookmarkEnd w:id="499"/>
      <w:bookmarkEnd w:id="500"/>
    </w:p>
    <w:p w14:paraId="4AEB5047">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bookmarkStart w:id="501" w:name="_bookmark58"/>
      <w:bookmarkEnd w:id="501"/>
      <w:bookmarkStart w:id="502" w:name="_bookmark57"/>
      <w:bookmarkEnd w:id="502"/>
      <w:r>
        <w:rPr>
          <w:rFonts w:hint="eastAsia" w:ascii="仿宋_GB2312" w:hAnsi="仿宋_GB2312" w:eastAsia="仿宋_GB2312" w:cs="仿宋_GB2312"/>
          <w:sz w:val="32"/>
          <w:szCs w:val="32"/>
          <w:highlight w:val="none"/>
          <w:lang w:val="en-US" w:eastAsia="zh-CN"/>
        </w:rPr>
        <w:t>8.2.1 本预案由北京经济技术开发区管委会负责制定，北京经济技术开发区开发城市运行局负责解释。</w:t>
      </w:r>
    </w:p>
    <w:p w14:paraId="3B2CFDA0">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8.2.2 本预案自印发之日起正式实施。原《北京经济技术开发区突发环境事件应急预案（2019年修订）》同时废止。</w:t>
      </w:r>
    </w:p>
    <w:p w14:paraId="3A51227D">
      <w:pPr>
        <w:pageBreakBefore w:val="0"/>
        <w:kinsoku/>
        <w:wordWrap/>
        <w:overflowPunct w:val="0"/>
        <w:topLinePunct/>
        <w:autoSpaceDE/>
        <w:bidi w:val="0"/>
        <w:spacing w:line="560" w:lineRule="exact"/>
        <w:jc w:val="both"/>
        <w:rPr>
          <w:rFonts w:hint="eastAsia" w:ascii="仿宋_GB2312" w:hAnsi="仿宋_GB2312" w:eastAsia="仿宋_GB2312" w:cs="仿宋_GB2312"/>
          <w:b w:val="0"/>
          <w:bCs w:val="0"/>
          <w:snapToGrid w:val="0"/>
          <w:color w:val="000000"/>
          <w:sz w:val="32"/>
          <w:szCs w:val="32"/>
          <w:highlight w:val="none"/>
          <w:lang w:val="en-US" w:eastAsia="zh-CN" w:bidi="ar-SA"/>
        </w:rPr>
      </w:pPr>
    </w:p>
    <w:p w14:paraId="1C7B28D8">
      <w:pPr>
        <w:keepNext w:val="0"/>
        <w:keepLines w:val="0"/>
        <w:pageBreakBefore w:val="0"/>
        <w:widowControl/>
        <w:kinsoku/>
        <w:wordWrap/>
        <w:overflowPunct w:val="0"/>
        <w:topLinePunct/>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bookmarkStart w:id="503" w:name="_Hlk98699040"/>
      <w:r>
        <w:rPr>
          <w:rFonts w:hint="eastAsia" w:ascii="仿宋_GB2312" w:hAnsi="仿宋_GB2312" w:eastAsia="仿宋_GB2312" w:cs="仿宋_GB2312"/>
          <w:sz w:val="32"/>
          <w:szCs w:val="32"/>
          <w:highlight w:val="none"/>
          <w:lang w:val="en-US" w:eastAsia="zh-CN"/>
        </w:rPr>
        <w:t>1.北京市突发环境事件分级标准</w:t>
      </w:r>
    </w:p>
    <w:p w14:paraId="3ABFA1B2">
      <w:pPr>
        <w:keepNext w:val="0"/>
        <w:keepLines w:val="0"/>
        <w:pageBreakBefore w:val="0"/>
        <w:widowControl/>
        <w:kinsoku/>
        <w:wordWrap/>
        <w:overflowPunct w:val="0"/>
        <w:topLinePunct/>
        <w:autoSpaceDE/>
        <w:autoSpaceDN/>
        <w:bidi w:val="0"/>
        <w:adjustRightInd w:val="0"/>
        <w:snapToGrid w:val="0"/>
        <w:spacing w:line="560" w:lineRule="exact"/>
        <w:ind w:firstLine="1600" w:firstLineChars="5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bookmarkEnd w:id="503"/>
      <w:r>
        <w:rPr>
          <w:rFonts w:hint="eastAsia" w:ascii="仿宋_GB2312" w:hAnsi="仿宋_GB2312" w:eastAsia="仿宋_GB2312" w:cs="仿宋_GB2312"/>
          <w:sz w:val="32"/>
          <w:szCs w:val="32"/>
          <w:highlight w:val="none"/>
          <w:lang w:val="en-US" w:eastAsia="zh-CN"/>
        </w:rPr>
        <w:t>经开区突发环境事件应急响应程序示意图</w:t>
      </w:r>
    </w:p>
    <w:p w14:paraId="4E3C75BE">
      <w:pPr>
        <w:keepNext w:val="0"/>
        <w:keepLines w:val="0"/>
        <w:pageBreakBefore w:val="0"/>
        <w:widowControl/>
        <w:kinsoku/>
        <w:wordWrap/>
        <w:overflowPunct w:val="0"/>
        <w:topLinePunct/>
        <w:autoSpaceDE/>
        <w:autoSpaceDN/>
        <w:bidi w:val="0"/>
        <w:adjustRightInd w:val="0"/>
        <w:snapToGrid w:val="0"/>
        <w:spacing w:line="560" w:lineRule="exact"/>
        <w:ind w:firstLine="1600" w:firstLineChars="5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3.区环境应急协调小组成员单位通讯录</w:t>
      </w:r>
    </w:p>
    <w:p w14:paraId="5AEF959D">
      <w:pPr>
        <w:keepNext w:val="0"/>
        <w:keepLines w:val="0"/>
        <w:pageBreakBefore w:val="0"/>
        <w:widowControl/>
        <w:kinsoku/>
        <w:wordWrap/>
        <w:overflowPunct w:val="0"/>
        <w:topLinePunct/>
        <w:autoSpaceDE/>
        <w:autoSpaceDN/>
        <w:bidi w:val="0"/>
        <w:adjustRightInd w:val="0"/>
        <w:snapToGrid w:val="0"/>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4713B3B2">
      <w:pPr>
        <w:pStyle w:val="10"/>
        <w:pageBreakBefore w:val="0"/>
        <w:kinsoku/>
        <w:wordWrap/>
        <w:overflowPunct w:val="0"/>
        <w:bidi w:val="0"/>
        <w:spacing w:line="560" w:lineRule="exact"/>
        <w:ind w:left="1960" w:leftChars="600" w:hanging="280" w:hangingChars="100"/>
        <w:rPr>
          <w:rFonts w:hint="eastAsia"/>
          <w:highlight w:val="none"/>
          <w:lang w:val="en-US" w:eastAsia="zh-CN"/>
        </w:rPr>
      </w:pPr>
    </w:p>
    <w:p w14:paraId="4BD4B0F1">
      <w:pPr>
        <w:pageBreakBefore w:val="0"/>
        <w:kinsoku/>
        <w:wordWrap/>
        <w:overflowPunct w:val="0"/>
        <w:topLinePunct/>
        <w:autoSpaceDE/>
        <w:bidi w:val="0"/>
        <w:spacing w:line="560" w:lineRule="exact"/>
        <w:jc w:val="both"/>
        <w:rPr>
          <w:rFonts w:hint="eastAsia" w:ascii="仿宋_GB2312" w:hAnsi="仿宋_GB2312" w:eastAsia="仿宋_GB2312" w:cs="仿宋_GB2312"/>
          <w:b w:val="0"/>
          <w:bCs w:val="0"/>
          <w:snapToGrid w:val="0"/>
          <w:color w:val="000000"/>
          <w:sz w:val="32"/>
          <w:szCs w:val="32"/>
          <w:highlight w:val="none"/>
          <w:lang w:val="en-US" w:eastAsia="zh-CN" w:bidi="ar-SA"/>
        </w:rPr>
        <w:sectPr>
          <w:footerReference r:id="rId7" w:type="default"/>
          <w:pgSz w:w="11905" w:h="16838"/>
          <w:pgMar w:top="2098" w:right="1474" w:bottom="1984" w:left="1587" w:header="851" w:footer="992" w:gutter="0"/>
          <w:pgNumType w:fmt="decimal"/>
          <w:cols w:space="0" w:num="1"/>
          <w:rtlGutter w:val="0"/>
          <w:docGrid w:type="lines" w:linePitch="425" w:charSpace="0"/>
        </w:sectPr>
      </w:pPr>
    </w:p>
    <w:p w14:paraId="7880C418">
      <w:pPr>
        <w:pStyle w:val="2"/>
        <w:pageBreakBefore w:val="0"/>
        <w:widowControl w:val="0"/>
        <w:kinsoku/>
        <w:wordWrap/>
        <w:overflowPunct w:val="0"/>
        <w:topLinePunct/>
        <w:autoSpaceDE/>
        <w:autoSpaceDN/>
        <w:bidi w:val="0"/>
        <w:adjustRightInd/>
        <w:snapToGrid/>
        <w:spacing w:before="0" w:line="560" w:lineRule="exact"/>
        <w:ind w:left="0" w:leftChars="0" w:firstLine="0" w:firstLineChars="0"/>
        <w:jc w:val="both"/>
        <w:textAlignment w:val="auto"/>
        <w:rPr>
          <w:rFonts w:hint="eastAsia" w:ascii="黑体" w:hAnsi="黑体" w:eastAsia="黑体" w:cs="黑体"/>
          <w:b w:val="0"/>
          <w:bCs w:val="0"/>
          <w:snapToGrid/>
          <w:color w:val="auto"/>
          <w:sz w:val="32"/>
          <w:szCs w:val="44"/>
          <w:highlight w:val="none"/>
        </w:rPr>
      </w:pPr>
      <w:bookmarkStart w:id="504" w:name="_Toc24703"/>
      <w:bookmarkStart w:id="505" w:name="_Toc15900"/>
      <w:bookmarkStart w:id="506" w:name="_Toc14633"/>
      <w:bookmarkStart w:id="507" w:name="_Toc10991"/>
      <w:bookmarkStart w:id="508" w:name="_Toc22769"/>
      <w:bookmarkStart w:id="509" w:name="_Toc1361"/>
      <w:bookmarkStart w:id="510" w:name="_Toc32418"/>
      <w:bookmarkStart w:id="511" w:name="_Toc13521"/>
      <w:r>
        <w:rPr>
          <w:rFonts w:hint="eastAsia" w:ascii="黑体" w:hAnsi="黑体" w:eastAsia="黑体" w:cs="黑体"/>
          <w:b w:val="0"/>
          <w:bCs w:val="0"/>
          <w:snapToGrid/>
          <w:color w:val="auto"/>
          <w:sz w:val="32"/>
          <w:szCs w:val="44"/>
          <w:highlight w:val="none"/>
        </w:rPr>
        <w:t>附件1</w:t>
      </w:r>
      <w:bookmarkEnd w:id="504"/>
    </w:p>
    <w:p w14:paraId="7A4C4A87">
      <w:pPr>
        <w:pageBreakBefore w:val="0"/>
        <w:wordWrap/>
        <w:bidi w:val="0"/>
        <w:spacing w:line="560" w:lineRule="exact"/>
        <w:rPr>
          <w:rFonts w:hint="eastAsia"/>
          <w:highlight w:val="none"/>
        </w:rPr>
      </w:pPr>
    </w:p>
    <w:bookmarkEnd w:id="505"/>
    <w:bookmarkEnd w:id="506"/>
    <w:bookmarkEnd w:id="507"/>
    <w:p w14:paraId="574B3B54">
      <w:pPr>
        <w:pStyle w:val="3"/>
        <w:pageBreakBefore w:val="0"/>
        <w:widowControl w:val="0"/>
        <w:kinsoku/>
        <w:wordWrap/>
        <w:overflowPunct w:val="0"/>
        <w:topLinePunct/>
        <w:autoSpaceDE/>
        <w:autoSpaceDN/>
        <w:bidi w:val="0"/>
        <w:adjustRightInd/>
        <w:snapToGrid/>
        <w:spacing w:before="0" w:line="560" w:lineRule="exact"/>
        <w:ind w:left="0" w:leftChars="0" w:firstLine="0" w:firstLineChars="0"/>
        <w:jc w:val="center"/>
        <w:textAlignment w:val="auto"/>
        <w:rPr>
          <w:rFonts w:hint="eastAsia" w:ascii="Times New Roman" w:hAnsi="Times New Roman" w:eastAsia="方正小标宋简体" w:cs="Times New Roman"/>
          <w:b w:val="0"/>
          <w:bCs w:val="0"/>
          <w:snapToGrid/>
          <w:color w:val="000000"/>
          <w:kern w:val="2"/>
          <w:sz w:val="44"/>
          <w:szCs w:val="44"/>
          <w:highlight w:val="none"/>
          <w:lang w:val="en-US" w:eastAsia="zh-CN" w:bidi="ar-SA"/>
        </w:rPr>
      </w:pPr>
      <w:bookmarkStart w:id="512" w:name="_Toc25833"/>
      <w:r>
        <w:rPr>
          <w:rFonts w:hint="eastAsia" w:ascii="Times New Roman" w:hAnsi="Times New Roman" w:eastAsia="方正小标宋简体" w:cs="Times New Roman"/>
          <w:b w:val="0"/>
          <w:bCs w:val="0"/>
          <w:snapToGrid/>
          <w:color w:val="000000"/>
          <w:kern w:val="2"/>
          <w:sz w:val="44"/>
          <w:szCs w:val="44"/>
          <w:highlight w:val="none"/>
          <w:lang w:val="en-US" w:eastAsia="zh-CN" w:bidi="ar-SA"/>
        </w:rPr>
        <w:t>北京市突发环境事件分级标准</w:t>
      </w:r>
      <w:bookmarkEnd w:id="508"/>
      <w:bookmarkEnd w:id="509"/>
      <w:bookmarkEnd w:id="510"/>
      <w:bookmarkEnd w:id="511"/>
      <w:bookmarkEnd w:id="512"/>
    </w:p>
    <w:p w14:paraId="5D032D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highlight w:val="none"/>
          <w:lang w:val="en-US" w:eastAsia="zh-CN"/>
        </w:rPr>
      </w:pPr>
    </w:p>
    <w:p w14:paraId="54894382">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一、特别重大突发环境事件</w:t>
      </w:r>
    </w:p>
    <w:p w14:paraId="576E66C9">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凡符合下列情形之一的，为特别重大突发环境事件：</w:t>
      </w:r>
    </w:p>
    <w:p w14:paraId="744A95E4">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1.因环境污染直接导致30人以上死亡或100人以上中毒或重伤的；</w:t>
      </w:r>
    </w:p>
    <w:p w14:paraId="7B86BF07">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2.因环境污染疏散、转移5万人以上的；</w:t>
      </w:r>
    </w:p>
    <w:p w14:paraId="3E7B1D34">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3.因环境污染造成直接经济损失1亿元以上的；</w:t>
      </w:r>
    </w:p>
    <w:p w14:paraId="7CBCACA8">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4.因环境污染造成区域生态功能丧失或该区域国家重点保护物种灭绝的；</w:t>
      </w:r>
    </w:p>
    <w:p w14:paraId="6BC83858">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5.因环境污染造成本市市级城市集中式饮用水水源地取水中断的；</w:t>
      </w:r>
    </w:p>
    <w:p w14:paraId="79B30DCB">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6.Ⅰ、Ⅱ类放射源丢失、被盗、失控并造成大范围严重辐射污染后果的；放射性同位素和射线装置失控导致3人以上急性死亡的；放射性物质泄漏，造成大范围辐射污染后果的。</w:t>
      </w:r>
    </w:p>
    <w:p w14:paraId="355DF19A">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二、重大突发环境事件</w:t>
      </w:r>
    </w:p>
    <w:p w14:paraId="3082E7D6">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凡符合下列情形之一的，为重大突发环境事件：</w:t>
      </w:r>
    </w:p>
    <w:p w14:paraId="36A00D85">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1.因环境污染直接导致10人以上30人以下死亡或50人以上100人以下中毒或重伤的；</w:t>
      </w:r>
    </w:p>
    <w:p w14:paraId="5FC552B3">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2.因环境污染疏散、转移1万人以上5万人以下的；</w:t>
      </w:r>
    </w:p>
    <w:p w14:paraId="2ED9FBDA">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3.因环境污染造成直接经济损失2000万元以上1亿元以下的；</w:t>
      </w:r>
    </w:p>
    <w:p w14:paraId="196EF641">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4.因环境污染造成区域生态功能部分丧失或该区域国家重点保护野生动植物种群大批死亡的；</w:t>
      </w:r>
    </w:p>
    <w:p w14:paraId="0E9F672C">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5.因环境污染造成本市区级城市集中式饮用水水源地取水中断的；</w:t>
      </w:r>
    </w:p>
    <w:p w14:paraId="6C863330">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6.Ⅰ、Ⅱ类放射源丢失、被盗的；放射性同位素和射线装置失控导致3人以下急性死亡或者10人以上急性重度放射病、局部器官残疾的；放射性物质泄漏，造成较大范围辐射污染后果的；</w:t>
      </w:r>
    </w:p>
    <w:p w14:paraId="2E964E66">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7.造成跨本市行政区域影响的突发环境事件。</w:t>
      </w:r>
    </w:p>
    <w:p w14:paraId="61A1118B">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三、较大突发环境事件</w:t>
      </w:r>
    </w:p>
    <w:p w14:paraId="5015014C">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凡符合下列情形之一的，为较大突发环境事件：</w:t>
      </w:r>
    </w:p>
    <w:p w14:paraId="5B6C0F33">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1.因环境污染直接导致3人以上10人以下死亡或10人以上50人以下中毒或重伤的；</w:t>
      </w:r>
    </w:p>
    <w:p w14:paraId="64B68103">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2.因环境污染疏散、转移5000人以上1万人以下的；</w:t>
      </w:r>
    </w:p>
    <w:p w14:paraId="0BEDD9FF">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3.因环境污染造成直接经济损失500万元以上2000万元以下的；</w:t>
      </w:r>
    </w:p>
    <w:p w14:paraId="2EF64F20">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4.因环境污染造成国家重点保护的动植物物种受到破坏的；</w:t>
      </w:r>
    </w:p>
    <w:p w14:paraId="679C8D28">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5.因环境污染造成本市乡镇集中式饮用水水源地取水中断的；</w:t>
      </w:r>
    </w:p>
    <w:p w14:paraId="0A0DDD32">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6.Ⅲ类放射源丢失、被盗的；放射性同位素和射线装置失控导致10人以下急性重度放射病、局部器官残疾的；放射性物质泄漏，造成小范围辐射污染后果的；</w:t>
      </w:r>
    </w:p>
    <w:p w14:paraId="4A783153">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7.造成本市跨区级行政区域影响的突发环境事件。</w:t>
      </w:r>
    </w:p>
    <w:p w14:paraId="21F66EA4">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四、一般突发环境事件</w:t>
      </w:r>
    </w:p>
    <w:p w14:paraId="0EB1CC06">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凡符合下列情形之一的，为一般突发环境事件：</w:t>
      </w:r>
    </w:p>
    <w:p w14:paraId="08B8296E">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1.因环境污染直接导致3人以下死亡或10人以下中毒或重伤的；</w:t>
      </w:r>
    </w:p>
    <w:p w14:paraId="3F4B41FB">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2.因环境污染疏散、转移5000人以下的；</w:t>
      </w:r>
    </w:p>
    <w:p w14:paraId="5DDBCD52">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3.因环境污染造成直接经济损失500万元以下的；</w:t>
      </w:r>
    </w:p>
    <w:p w14:paraId="59099D47">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4.因环境污染造成跨乡镇级行政区域纠纷，引起一般性群体影响的；</w:t>
      </w:r>
    </w:p>
    <w:p w14:paraId="7CDA2F1C">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1231A33A">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6.对环境造成一定影响，尚未达到较大突发环境事件级别的。</w:t>
      </w:r>
    </w:p>
    <w:p w14:paraId="61618C86">
      <w:pPr>
        <w:pageBreakBefore w:val="0"/>
        <w:kinsoku/>
        <w:wordWrap/>
        <w:overflowPunct w:val="0"/>
        <w:topLinePunct/>
        <w:autoSpaceDE/>
        <w:autoSpaceDN/>
        <w:bidi w:val="0"/>
        <w:spacing w:line="560" w:lineRule="exact"/>
        <w:jc w:val="both"/>
        <w:textAlignment w:val="auto"/>
        <w:rPr>
          <w:rFonts w:hint="eastAsia" w:ascii="仿宋_GB2312" w:hAnsi="仿宋_GB2312" w:eastAsia="仿宋_GB2312" w:cs="仿宋_GB2312"/>
          <w:sz w:val="32"/>
          <w:szCs w:val="32"/>
          <w:highlight w:val="none"/>
          <w:lang w:val="en-US" w:eastAsia="zh-CN"/>
        </w:rPr>
        <w:sectPr>
          <w:pgSz w:w="11905" w:h="16838"/>
          <w:pgMar w:top="2098" w:right="1474" w:bottom="1984" w:left="1587" w:header="851" w:footer="992" w:gutter="0"/>
          <w:pgNumType w:fmt="decimal"/>
          <w:cols w:space="0" w:num="1"/>
          <w:rtlGutter w:val="0"/>
          <w:docGrid w:type="lines" w:linePitch="425" w:charSpace="0"/>
        </w:sectPr>
      </w:pPr>
      <w:r>
        <w:rPr>
          <w:rFonts w:hint="eastAsia" w:ascii="仿宋_GB2312" w:hAnsi="仿宋_GB2312" w:eastAsia="仿宋_GB2312" w:cs="仿宋_GB2312"/>
          <w:sz w:val="32"/>
          <w:szCs w:val="32"/>
          <w:highlight w:val="none"/>
          <w:lang w:val="en-US" w:eastAsia="zh-CN"/>
        </w:rPr>
        <w:t>上述分级标准有关数量的表述中，“以上”含本数，“以下”不含本数。若《国家突发环境事件应急预案》中规定的事件分级发生调整，本预案从其规定。</w:t>
      </w:r>
    </w:p>
    <w:p w14:paraId="527E7C02">
      <w:pPr>
        <w:pStyle w:val="2"/>
        <w:pageBreakBefore w:val="0"/>
        <w:widowControl w:val="0"/>
        <w:kinsoku/>
        <w:wordWrap/>
        <w:overflowPunct w:val="0"/>
        <w:topLinePunct/>
        <w:autoSpaceDE/>
        <w:autoSpaceDN/>
        <w:bidi w:val="0"/>
        <w:adjustRightInd/>
        <w:snapToGrid/>
        <w:spacing w:before="0" w:line="560" w:lineRule="exact"/>
        <w:ind w:left="0" w:leftChars="0" w:firstLine="0" w:firstLineChars="0"/>
        <w:jc w:val="both"/>
        <w:textAlignment w:val="auto"/>
        <w:rPr>
          <w:rFonts w:hint="eastAsia" w:ascii="黑体" w:hAnsi="黑体" w:eastAsia="黑体" w:cs="黑体"/>
          <w:b w:val="0"/>
          <w:bCs w:val="0"/>
          <w:snapToGrid/>
          <w:color w:val="auto"/>
          <w:sz w:val="32"/>
          <w:szCs w:val="44"/>
          <w:highlight w:val="none"/>
        </w:rPr>
      </w:pPr>
      <w:bookmarkStart w:id="513" w:name="_Toc29197"/>
      <w:bookmarkStart w:id="514" w:name="_Toc12124"/>
      <w:bookmarkStart w:id="515" w:name="_Toc482690344"/>
      <w:bookmarkStart w:id="516" w:name="_Toc26378"/>
      <w:bookmarkStart w:id="517" w:name="_Toc28630"/>
      <w:bookmarkStart w:id="518" w:name="_Toc2144653880"/>
      <w:bookmarkStart w:id="519" w:name="_Toc694433959"/>
      <w:bookmarkStart w:id="520" w:name="_Toc32647"/>
      <w:bookmarkStart w:id="521" w:name="_Toc28613"/>
      <w:bookmarkStart w:id="522" w:name="_Toc24782"/>
      <w:bookmarkStart w:id="523" w:name="_Toc26206"/>
      <w:bookmarkStart w:id="524" w:name="_Toc11213"/>
      <w:bookmarkStart w:id="525" w:name="_Toc2269"/>
      <w:bookmarkStart w:id="526" w:name="_Toc10541"/>
      <w:r>
        <w:rPr>
          <w:rFonts w:hint="eastAsia" w:ascii="黑体" w:hAnsi="黑体" w:eastAsia="黑体" w:cs="黑体"/>
          <w:b w:val="0"/>
          <w:bCs w:val="0"/>
          <w:snapToGrid/>
          <w:color w:val="auto"/>
          <w:sz w:val="32"/>
          <w:szCs w:val="44"/>
          <w:highlight w:val="none"/>
        </w:rPr>
        <w:t>附件2</w:t>
      </w:r>
      <w:bookmarkEnd w:id="513"/>
      <w:r>
        <w:rPr>
          <w:rFonts w:hint="eastAsia" w:ascii="黑体" w:hAnsi="黑体" w:eastAsia="黑体" w:cs="黑体"/>
          <w:b w:val="0"/>
          <w:bCs w:val="0"/>
          <w:snapToGrid/>
          <w:color w:val="auto"/>
          <w:sz w:val="32"/>
          <w:szCs w:val="44"/>
          <w:highlight w:val="none"/>
        </w:rPr>
        <w:t xml:space="preserve"> </w:t>
      </w:r>
      <w:bookmarkEnd w:id="514"/>
      <w:bookmarkEnd w:id="515"/>
      <w:bookmarkEnd w:id="516"/>
      <w:bookmarkEnd w:id="517"/>
      <w:bookmarkEnd w:id="518"/>
      <w:bookmarkEnd w:id="519"/>
    </w:p>
    <w:p w14:paraId="2578D5C1">
      <w:pPr>
        <w:pStyle w:val="3"/>
        <w:pageBreakBefore w:val="0"/>
        <w:widowControl w:val="0"/>
        <w:kinsoku/>
        <w:wordWrap/>
        <w:overflowPunct w:val="0"/>
        <w:topLinePunct/>
        <w:autoSpaceDE/>
        <w:autoSpaceDN/>
        <w:bidi w:val="0"/>
        <w:adjustRightInd/>
        <w:snapToGrid/>
        <w:spacing w:before="0" w:line="560" w:lineRule="exact"/>
        <w:ind w:left="0" w:leftChars="0" w:firstLine="0" w:firstLineChars="0"/>
        <w:jc w:val="center"/>
        <w:textAlignment w:val="auto"/>
        <w:rPr>
          <w:rFonts w:hint="eastAsia" w:ascii="Times New Roman" w:hAnsi="Times New Roman" w:eastAsia="方正小标宋简体" w:cs="Times New Roman"/>
          <w:b w:val="0"/>
          <w:bCs w:val="0"/>
          <w:snapToGrid/>
          <w:color w:val="000000"/>
          <w:kern w:val="2"/>
          <w:sz w:val="44"/>
          <w:szCs w:val="44"/>
          <w:highlight w:val="none"/>
          <w:lang w:val="en-US" w:eastAsia="zh-CN" w:bidi="ar-SA"/>
        </w:rPr>
      </w:pPr>
      <w:bookmarkStart w:id="527" w:name="_Toc20967"/>
      <w:r>
        <w:rPr>
          <w:rFonts w:hint="eastAsia" w:ascii="Times New Roman" w:hAnsi="Times New Roman" w:eastAsia="方正小标宋简体" w:cs="Times New Roman"/>
          <w:b w:val="0"/>
          <w:bCs w:val="0"/>
          <w:snapToGrid/>
          <w:color w:val="000000"/>
          <w:kern w:val="2"/>
          <w:sz w:val="44"/>
          <w:szCs w:val="44"/>
          <w:highlight w:val="none"/>
          <w:lang w:val="en-US" w:eastAsia="zh-CN" w:bidi="ar-SA"/>
        </w:rPr>
        <w:t>北京经济技术开发区突发环境事件应急响应程序示意图</w:t>
      </w:r>
      <w:bookmarkEnd w:id="520"/>
      <w:bookmarkEnd w:id="521"/>
      <w:bookmarkEnd w:id="522"/>
      <w:bookmarkEnd w:id="523"/>
      <w:bookmarkEnd w:id="524"/>
      <w:bookmarkEnd w:id="525"/>
      <w:bookmarkEnd w:id="526"/>
      <w:bookmarkEnd w:id="527"/>
    </w:p>
    <w:p w14:paraId="5D3FF010">
      <w:pPr>
        <w:rPr>
          <w:rFonts w:hint="eastAsia"/>
          <w:highlight w:val="none"/>
          <w:lang w:val="en-US" w:eastAsia="zh-CN"/>
        </w:rPr>
      </w:pPr>
    </w:p>
    <w:p w14:paraId="016BF61D">
      <w:pPr>
        <w:keepNext w:val="0"/>
        <w:keepLines w:val="0"/>
        <w:pageBreakBefore w:val="0"/>
        <w:widowControl/>
        <w:kinsoku/>
        <w:wordWrap/>
        <w:overflowPunct w:val="0"/>
        <w:topLinePunct w:val="0"/>
        <w:autoSpaceDE w:val="0"/>
        <w:autoSpaceDN w:val="0"/>
        <w:bidi w:val="0"/>
        <w:adjustRightInd w:val="0"/>
        <w:snapToGrid w:val="0"/>
        <w:spacing w:before="205" w:beforeLines="50" w:line="240" w:lineRule="auto"/>
        <w:ind w:firstLine="0" w:firstLineChars="0"/>
        <w:jc w:val="both"/>
        <w:textAlignment w:val="baseline"/>
        <w:rPr>
          <w:highlight w:val="none"/>
        </w:rPr>
      </w:pPr>
      <w:r>
        <w:drawing>
          <wp:inline distT="0" distB="0" distL="114300" distR="114300">
            <wp:extent cx="8737600" cy="1953260"/>
            <wp:effectExtent l="0" t="0" r="0" b="254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9"/>
                    <a:stretch>
                      <a:fillRect/>
                    </a:stretch>
                  </pic:blipFill>
                  <pic:spPr>
                    <a:xfrm>
                      <a:off x="0" y="0"/>
                      <a:ext cx="8737600" cy="1953260"/>
                    </a:xfrm>
                    <a:prstGeom prst="rect">
                      <a:avLst/>
                    </a:prstGeom>
                    <a:noFill/>
                    <a:ln>
                      <a:noFill/>
                    </a:ln>
                  </pic:spPr>
                </pic:pic>
              </a:graphicData>
            </a:graphic>
          </wp:inline>
        </w:drawing>
      </w:r>
    </w:p>
    <w:p w14:paraId="109E8D25">
      <w:pPr>
        <w:pStyle w:val="8"/>
        <w:pageBreakBefore w:val="0"/>
        <w:kinsoku/>
        <w:wordWrap/>
        <w:overflowPunct w:val="0"/>
        <w:bidi w:val="0"/>
        <w:spacing w:line="560" w:lineRule="exact"/>
        <w:jc w:val="both"/>
        <w:rPr>
          <w:highlight w:val="none"/>
        </w:rPr>
      </w:pPr>
    </w:p>
    <w:p w14:paraId="642DCE1C">
      <w:pPr>
        <w:pStyle w:val="9"/>
        <w:pageBreakBefore w:val="0"/>
        <w:kinsoku/>
        <w:wordWrap/>
        <w:overflowPunct w:val="0"/>
        <w:bidi w:val="0"/>
        <w:spacing w:line="560" w:lineRule="exact"/>
        <w:ind w:firstLine="640"/>
        <w:jc w:val="both"/>
        <w:rPr>
          <w:highlight w:val="none"/>
        </w:rPr>
      </w:pPr>
    </w:p>
    <w:p w14:paraId="32FF6756">
      <w:pPr>
        <w:pStyle w:val="9"/>
        <w:keepNext w:val="0"/>
        <w:keepLines w:val="0"/>
        <w:pageBreakBefore w:val="0"/>
        <w:widowControl/>
        <w:kinsoku/>
        <w:wordWrap/>
        <w:overflowPunct w:val="0"/>
        <w:topLinePunct w:val="0"/>
        <w:autoSpaceDE w:val="0"/>
        <w:autoSpaceDN w:val="0"/>
        <w:bidi w:val="0"/>
        <w:adjustRightInd w:val="0"/>
        <w:snapToGrid w:val="0"/>
        <w:spacing w:line="240" w:lineRule="auto"/>
        <w:ind w:firstLine="640"/>
        <w:jc w:val="both"/>
        <w:textAlignment w:val="baseline"/>
        <w:rPr>
          <w:highlight w:val="none"/>
        </w:rPr>
        <w:sectPr>
          <w:pgSz w:w="16838" w:h="11905" w:orient="landscape"/>
          <w:pgMar w:top="2098" w:right="1474" w:bottom="1984" w:left="1587" w:header="851" w:footer="992" w:gutter="0"/>
          <w:pgNumType w:fmt="decimal"/>
          <w:cols w:space="0" w:num="1"/>
          <w:rtlGutter w:val="0"/>
          <w:docGrid w:type="lines" w:linePitch="425" w:charSpace="0"/>
        </w:sectPr>
      </w:pPr>
    </w:p>
    <w:p w14:paraId="7011AF9D">
      <w:pPr>
        <w:pStyle w:val="2"/>
        <w:pageBreakBefore w:val="0"/>
        <w:widowControl w:val="0"/>
        <w:kinsoku/>
        <w:wordWrap/>
        <w:overflowPunct w:val="0"/>
        <w:topLinePunct/>
        <w:autoSpaceDE/>
        <w:autoSpaceDN/>
        <w:bidi w:val="0"/>
        <w:adjustRightInd/>
        <w:snapToGrid/>
        <w:spacing w:before="0" w:line="560" w:lineRule="exact"/>
        <w:ind w:left="0" w:leftChars="0" w:firstLine="0" w:firstLineChars="0"/>
        <w:jc w:val="both"/>
        <w:textAlignment w:val="auto"/>
        <w:rPr>
          <w:rFonts w:hint="eastAsia" w:ascii="黑体" w:hAnsi="黑体" w:eastAsia="黑体" w:cs="黑体"/>
          <w:b w:val="0"/>
          <w:bCs w:val="0"/>
          <w:snapToGrid/>
          <w:color w:val="auto"/>
          <w:sz w:val="32"/>
          <w:szCs w:val="44"/>
          <w:highlight w:val="none"/>
        </w:rPr>
      </w:pPr>
      <w:bookmarkStart w:id="528" w:name="_Toc22835"/>
      <w:bookmarkStart w:id="529" w:name="_Toc18786"/>
      <w:bookmarkStart w:id="530" w:name="_Toc1571"/>
      <w:bookmarkStart w:id="531" w:name="_Toc8804"/>
      <w:bookmarkStart w:id="532" w:name="_Toc7051"/>
      <w:bookmarkStart w:id="533" w:name="_Toc24383"/>
      <w:bookmarkStart w:id="534" w:name="_Toc13943"/>
      <w:bookmarkStart w:id="535" w:name="_Toc6965"/>
      <w:r>
        <w:rPr>
          <w:rFonts w:hint="eastAsia" w:ascii="黑体" w:hAnsi="黑体" w:eastAsia="黑体" w:cs="黑体"/>
          <w:b w:val="0"/>
          <w:bCs w:val="0"/>
          <w:snapToGrid/>
          <w:color w:val="auto"/>
          <w:sz w:val="32"/>
          <w:szCs w:val="44"/>
          <w:highlight w:val="none"/>
        </w:rPr>
        <w:t>附件3</w:t>
      </w:r>
      <w:bookmarkEnd w:id="528"/>
    </w:p>
    <w:p w14:paraId="0A73C429">
      <w:pPr>
        <w:pStyle w:val="3"/>
        <w:pageBreakBefore w:val="0"/>
        <w:widowControl w:val="0"/>
        <w:kinsoku/>
        <w:wordWrap/>
        <w:overflowPunct w:val="0"/>
        <w:topLinePunct/>
        <w:autoSpaceDE/>
        <w:autoSpaceDN/>
        <w:bidi w:val="0"/>
        <w:adjustRightInd/>
        <w:snapToGrid/>
        <w:spacing w:before="0" w:line="560" w:lineRule="exact"/>
        <w:ind w:left="0" w:leftChars="0" w:firstLine="0" w:firstLineChars="0"/>
        <w:jc w:val="center"/>
        <w:textAlignment w:val="auto"/>
        <w:rPr>
          <w:rFonts w:hint="eastAsia" w:ascii="Times New Roman" w:hAnsi="Times New Roman" w:eastAsia="方正小标宋简体" w:cs="Times New Roman"/>
          <w:b w:val="0"/>
          <w:bCs w:val="0"/>
          <w:snapToGrid/>
          <w:color w:val="000000"/>
          <w:kern w:val="2"/>
          <w:sz w:val="44"/>
          <w:szCs w:val="44"/>
          <w:highlight w:val="none"/>
          <w:lang w:val="en-US" w:eastAsia="zh-CN" w:bidi="ar-SA"/>
        </w:rPr>
      </w:pPr>
      <w:bookmarkStart w:id="536" w:name="_Toc22707"/>
      <w:r>
        <w:rPr>
          <w:rFonts w:hint="eastAsia" w:ascii="Times New Roman" w:hAnsi="Times New Roman" w:eastAsia="方正小标宋简体" w:cs="Times New Roman"/>
          <w:b w:val="0"/>
          <w:bCs w:val="0"/>
          <w:snapToGrid/>
          <w:color w:val="000000"/>
          <w:kern w:val="2"/>
          <w:sz w:val="44"/>
          <w:szCs w:val="44"/>
          <w:highlight w:val="none"/>
          <w:lang w:val="en-US" w:eastAsia="zh-CN" w:bidi="ar-SA"/>
        </w:rPr>
        <w:t>区环境应急协调小组成员单位通讯录</w:t>
      </w:r>
      <w:bookmarkEnd w:id="529"/>
      <w:bookmarkEnd w:id="530"/>
      <w:bookmarkEnd w:id="531"/>
      <w:bookmarkEnd w:id="532"/>
      <w:bookmarkEnd w:id="533"/>
      <w:bookmarkEnd w:id="534"/>
      <w:bookmarkEnd w:id="535"/>
      <w:bookmarkEnd w:id="53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1752"/>
        <w:gridCol w:w="1976"/>
        <w:gridCol w:w="1752"/>
      </w:tblGrid>
      <w:tr w14:paraId="657F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3258" w:type="dxa"/>
            <w:noWrap w:val="0"/>
            <w:vAlign w:val="center"/>
          </w:tcPr>
          <w:p w14:paraId="27F5AC20">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成员单位</w:t>
            </w:r>
          </w:p>
        </w:tc>
        <w:tc>
          <w:tcPr>
            <w:tcW w:w="1752" w:type="dxa"/>
            <w:noWrap w:val="0"/>
            <w:vAlign w:val="center"/>
          </w:tcPr>
          <w:p w14:paraId="79B9A54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办公电话</w:t>
            </w:r>
          </w:p>
        </w:tc>
        <w:tc>
          <w:tcPr>
            <w:tcW w:w="1976" w:type="dxa"/>
            <w:noWrap w:val="0"/>
            <w:vAlign w:val="center"/>
          </w:tcPr>
          <w:p w14:paraId="2CA77D9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值班电话</w:t>
            </w:r>
          </w:p>
        </w:tc>
        <w:tc>
          <w:tcPr>
            <w:tcW w:w="1752" w:type="dxa"/>
            <w:noWrap w:val="0"/>
            <w:vAlign w:val="center"/>
          </w:tcPr>
          <w:p w14:paraId="66F6BF1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传真</w:t>
            </w:r>
          </w:p>
        </w:tc>
      </w:tr>
      <w:tr w14:paraId="1433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58" w:type="dxa"/>
            <w:noWrap w:val="0"/>
            <w:vAlign w:val="center"/>
          </w:tcPr>
          <w:p w14:paraId="783FA1F4">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平安建设办公室</w:t>
            </w:r>
          </w:p>
        </w:tc>
        <w:tc>
          <w:tcPr>
            <w:tcW w:w="1752" w:type="dxa"/>
            <w:noWrap w:val="0"/>
            <w:vAlign w:val="center"/>
          </w:tcPr>
          <w:p w14:paraId="0235821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67882597</w:t>
            </w:r>
          </w:p>
        </w:tc>
        <w:tc>
          <w:tcPr>
            <w:tcW w:w="1976" w:type="dxa"/>
            <w:noWrap w:val="0"/>
            <w:vAlign w:val="center"/>
          </w:tcPr>
          <w:p w14:paraId="626FFCA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18396669959</w:t>
            </w:r>
          </w:p>
        </w:tc>
        <w:tc>
          <w:tcPr>
            <w:tcW w:w="1752" w:type="dxa"/>
            <w:noWrap w:val="0"/>
            <w:vAlign w:val="center"/>
          </w:tcPr>
          <w:p w14:paraId="4D38B4D3">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67882810</w:t>
            </w:r>
          </w:p>
        </w:tc>
      </w:tr>
      <w:tr w14:paraId="4EA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50E8757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宣传文化部</w:t>
            </w:r>
          </w:p>
        </w:tc>
        <w:tc>
          <w:tcPr>
            <w:tcW w:w="1752" w:type="dxa"/>
            <w:noWrap w:val="0"/>
            <w:vAlign w:val="center"/>
          </w:tcPr>
          <w:p w14:paraId="52214C25">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67880171</w:t>
            </w:r>
          </w:p>
        </w:tc>
        <w:tc>
          <w:tcPr>
            <w:tcW w:w="1976" w:type="dxa"/>
            <w:noWrap w:val="0"/>
            <w:vAlign w:val="center"/>
          </w:tcPr>
          <w:p w14:paraId="2620C1F7">
            <w:pPr>
              <w:keepNext w:val="0"/>
              <w:keepLines w:val="0"/>
              <w:pageBreakBefore w:val="0"/>
              <w:widowControl/>
              <w:kinsoku/>
              <w:wordWrap/>
              <w:overflowPunct w:val="0"/>
              <w:topLinePunct/>
              <w:autoSpaceDE/>
              <w:autoSpaceDN/>
              <w:bidi w:val="0"/>
              <w:adjustRightInd w:val="0"/>
              <w:snapToGrid w:val="0"/>
              <w:spacing w:line="560" w:lineRule="exact"/>
              <w:ind w:firstLine="0" w:firstLineChars="0"/>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3A9B6A2E">
            <w:pPr>
              <w:keepNext w:val="0"/>
              <w:keepLines w:val="0"/>
              <w:pageBreakBefore w:val="0"/>
              <w:widowControl/>
              <w:kinsoku/>
              <w:wordWrap/>
              <w:overflowPunct w:val="0"/>
              <w:topLinePunct/>
              <w:autoSpaceDE/>
              <w:autoSpaceDN/>
              <w:bidi w:val="0"/>
              <w:adjustRightInd w:val="0"/>
              <w:snapToGrid w:val="0"/>
              <w:spacing w:line="560" w:lineRule="exact"/>
              <w:ind w:firstLine="0" w:firstLineChars="0"/>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16A8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5DC14BB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地区协同事务局</w:t>
            </w:r>
          </w:p>
        </w:tc>
        <w:tc>
          <w:tcPr>
            <w:tcW w:w="1752" w:type="dxa"/>
            <w:noWrap w:val="0"/>
            <w:vAlign w:val="center"/>
          </w:tcPr>
          <w:p w14:paraId="48D1C3B9">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67869927</w:t>
            </w:r>
          </w:p>
        </w:tc>
        <w:tc>
          <w:tcPr>
            <w:tcW w:w="1976" w:type="dxa"/>
            <w:noWrap w:val="0"/>
            <w:vAlign w:val="center"/>
          </w:tcPr>
          <w:p w14:paraId="431AE3AD">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87169722</w:t>
            </w:r>
          </w:p>
        </w:tc>
        <w:tc>
          <w:tcPr>
            <w:tcW w:w="1752" w:type="dxa"/>
            <w:noWrap w:val="0"/>
            <w:vAlign w:val="center"/>
          </w:tcPr>
          <w:p w14:paraId="77F2C631">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4C6A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0DB37204">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经济发展局</w:t>
            </w:r>
          </w:p>
        </w:tc>
        <w:tc>
          <w:tcPr>
            <w:tcW w:w="1752" w:type="dxa"/>
            <w:noWrap w:val="0"/>
            <w:vAlign w:val="center"/>
          </w:tcPr>
          <w:p w14:paraId="2A32EE23">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67880400</w:t>
            </w:r>
          </w:p>
        </w:tc>
        <w:tc>
          <w:tcPr>
            <w:tcW w:w="1976" w:type="dxa"/>
            <w:noWrap w:val="0"/>
            <w:vAlign w:val="center"/>
          </w:tcPr>
          <w:p w14:paraId="3DF14C3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13810090901</w:t>
            </w:r>
          </w:p>
        </w:tc>
        <w:tc>
          <w:tcPr>
            <w:tcW w:w="1752" w:type="dxa"/>
            <w:noWrap w:val="0"/>
            <w:vAlign w:val="center"/>
          </w:tcPr>
          <w:p w14:paraId="488EAE74">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67881475</w:t>
            </w:r>
          </w:p>
        </w:tc>
      </w:tr>
      <w:tr w14:paraId="690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7E335B61">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营商合作局</w:t>
            </w:r>
          </w:p>
        </w:tc>
        <w:tc>
          <w:tcPr>
            <w:tcW w:w="1752" w:type="dxa"/>
            <w:noWrap w:val="0"/>
            <w:vAlign w:val="center"/>
          </w:tcPr>
          <w:p w14:paraId="046BCE34">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67881316</w:t>
            </w:r>
          </w:p>
        </w:tc>
        <w:tc>
          <w:tcPr>
            <w:tcW w:w="1976" w:type="dxa"/>
            <w:noWrap w:val="0"/>
            <w:vAlign w:val="center"/>
          </w:tcPr>
          <w:p w14:paraId="4E0B0892">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07E6513C">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64BD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6D3D9C11">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科技创新局</w:t>
            </w:r>
          </w:p>
        </w:tc>
        <w:tc>
          <w:tcPr>
            <w:tcW w:w="1752" w:type="dxa"/>
            <w:noWrap w:val="0"/>
            <w:vAlign w:val="center"/>
          </w:tcPr>
          <w:p w14:paraId="19A14097">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67880357</w:t>
            </w:r>
          </w:p>
        </w:tc>
        <w:tc>
          <w:tcPr>
            <w:tcW w:w="1976" w:type="dxa"/>
            <w:noWrap w:val="0"/>
            <w:vAlign w:val="center"/>
          </w:tcPr>
          <w:p w14:paraId="332C08AD">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657DFFB1">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238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28E9B17F">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财政审计局</w:t>
            </w:r>
          </w:p>
        </w:tc>
        <w:tc>
          <w:tcPr>
            <w:tcW w:w="1752" w:type="dxa"/>
            <w:noWrap w:val="0"/>
            <w:vAlign w:val="center"/>
          </w:tcPr>
          <w:p w14:paraId="2B4B2955">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67881418</w:t>
            </w:r>
          </w:p>
        </w:tc>
        <w:tc>
          <w:tcPr>
            <w:tcW w:w="1976" w:type="dxa"/>
            <w:noWrap w:val="0"/>
            <w:vAlign w:val="center"/>
          </w:tcPr>
          <w:p w14:paraId="4C391864">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16C6B265">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5297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3596473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开发建设局</w:t>
            </w:r>
          </w:p>
        </w:tc>
        <w:tc>
          <w:tcPr>
            <w:tcW w:w="1752" w:type="dxa"/>
            <w:noWrap w:val="0"/>
            <w:vAlign w:val="center"/>
          </w:tcPr>
          <w:p w14:paraId="150F3FDB">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67880187</w:t>
            </w:r>
          </w:p>
        </w:tc>
        <w:tc>
          <w:tcPr>
            <w:tcW w:w="1976" w:type="dxa"/>
            <w:noWrap w:val="0"/>
            <w:vAlign w:val="center"/>
          </w:tcPr>
          <w:p w14:paraId="21F58026">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797C08B1">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1FFC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6173749D">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社会事业局</w:t>
            </w:r>
          </w:p>
        </w:tc>
        <w:tc>
          <w:tcPr>
            <w:tcW w:w="1752" w:type="dxa"/>
            <w:noWrap w:val="0"/>
            <w:vAlign w:val="center"/>
          </w:tcPr>
          <w:p w14:paraId="40397E3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eastAsia="仿宋_GB2312" w:cs="Calibri"/>
                <w:sz w:val="32"/>
                <w:szCs w:val="32"/>
              </w:rPr>
              <w:t>67882907</w:t>
            </w:r>
          </w:p>
        </w:tc>
        <w:tc>
          <w:tcPr>
            <w:tcW w:w="1976" w:type="dxa"/>
            <w:noWrap w:val="0"/>
            <w:vAlign w:val="center"/>
          </w:tcPr>
          <w:p w14:paraId="094FA06B">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87925267</w:t>
            </w:r>
          </w:p>
        </w:tc>
        <w:tc>
          <w:tcPr>
            <w:tcW w:w="1752" w:type="dxa"/>
            <w:noWrap w:val="0"/>
            <w:vAlign w:val="center"/>
          </w:tcPr>
          <w:p w14:paraId="0730227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67880347</w:t>
            </w:r>
          </w:p>
        </w:tc>
      </w:tr>
      <w:tr w14:paraId="057E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4855665D">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商务金融局</w:t>
            </w:r>
          </w:p>
        </w:tc>
        <w:tc>
          <w:tcPr>
            <w:tcW w:w="1752" w:type="dxa"/>
            <w:noWrap w:val="0"/>
            <w:vAlign w:val="center"/>
          </w:tcPr>
          <w:p w14:paraId="131B9F0E">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67886597</w:t>
            </w:r>
          </w:p>
        </w:tc>
        <w:tc>
          <w:tcPr>
            <w:tcW w:w="1976" w:type="dxa"/>
            <w:noWrap w:val="0"/>
            <w:vAlign w:val="center"/>
          </w:tcPr>
          <w:p w14:paraId="5F314CC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67881261</w:t>
            </w:r>
          </w:p>
        </w:tc>
        <w:tc>
          <w:tcPr>
            <w:tcW w:w="1752" w:type="dxa"/>
            <w:noWrap w:val="0"/>
            <w:vAlign w:val="center"/>
          </w:tcPr>
          <w:p w14:paraId="219AA451">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6EE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04A1C160">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行政审批局</w:t>
            </w:r>
          </w:p>
        </w:tc>
        <w:tc>
          <w:tcPr>
            <w:tcW w:w="1752" w:type="dxa"/>
            <w:noWrap w:val="0"/>
            <w:vAlign w:val="center"/>
          </w:tcPr>
          <w:p w14:paraId="05B6E3D7">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67881315</w:t>
            </w:r>
          </w:p>
        </w:tc>
        <w:tc>
          <w:tcPr>
            <w:tcW w:w="1976" w:type="dxa"/>
            <w:noWrap w:val="0"/>
            <w:vAlign w:val="center"/>
          </w:tcPr>
          <w:p w14:paraId="6FBFC8A8">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c>
          <w:tcPr>
            <w:tcW w:w="1752" w:type="dxa"/>
            <w:noWrap w:val="0"/>
            <w:vAlign w:val="center"/>
          </w:tcPr>
          <w:p w14:paraId="626EBAF4">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1004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01A0BE9A">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综合执法局</w:t>
            </w:r>
          </w:p>
        </w:tc>
        <w:tc>
          <w:tcPr>
            <w:tcW w:w="1752" w:type="dxa"/>
            <w:noWrap w:val="0"/>
            <w:vAlign w:val="center"/>
          </w:tcPr>
          <w:p w14:paraId="21F2CFBF">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napToGrid w:val="0"/>
                <w:color w:val="000000"/>
                <w:sz w:val="32"/>
                <w:szCs w:val="32"/>
                <w:highlight w:val="none"/>
                <w:lang w:val="en-US" w:eastAsia="zh-CN" w:bidi="ar-SA"/>
              </w:rPr>
              <w:t>67881491</w:t>
            </w:r>
          </w:p>
        </w:tc>
        <w:tc>
          <w:tcPr>
            <w:tcW w:w="1976" w:type="dxa"/>
            <w:noWrap w:val="0"/>
            <w:vAlign w:val="center"/>
          </w:tcPr>
          <w:p w14:paraId="1DD6103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67881491</w:t>
            </w:r>
          </w:p>
        </w:tc>
        <w:tc>
          <w:tcPr>
            <w:tcW w:w="1752" w:type="dxa"/>
            <w:noWrap w:val="0"/>
            <w:vAlign w:val="center"/>
          </w:tcPr>
          <w:p w14:paraId="5AFFE844">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4829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3E3446C3">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规自北京经济技术开发区分局</w:t>
            </w:r>
          </w:p>
        </w:tc>
        <w:tc>
          <w:tcPr>
            <w:tcW w:w="1752" w:type="dxa"/>
            <w:noWrap w:val="0"/>
            <w:vAlign w:val="center"/>
          </w:tcPr>
          <w:p w14:paraId="3C965A6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Hans"/>
              </w:rPr>
            </w:pPr>
            <w:r>
              <w:rPr>
                <w:rFonts w:hint="eastAsia" w:ascii="仿宋_GB2312" w:hAnsi="仿宋_GB2312" w:cs="仿宋_GB2312"/>
                <w:sz w:val="32"/>
                <w:szCs w:val="32"/>
                <w:highlight w:val="none"/>
                <w:lang w:val="en-US" w:eastAsia="zh-CN"/>
              </w:rPr>
              <w:t>67889708</w:t>
            </w:r>
          </w:p>
        </w:tc>
        <w:tc>
          <w:tcPr>
            <w:tcW w:w="1976" w:type="dxa"/>
            <w:noWrap w:val="0"/>
            <w:vAlign w:val="center"/>
          </w:tcPr>
          <w:p w14:paraId="21E1FF5F">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Hans"/>
              </w:rPr>
            </w:pPr>
            <w:r>
              <w:rPr>
                <w:rFonts w:hint="eastAsia" w:ascii="仿宋_GB2312" w:hAnsi="仿宋_GB2312" w:cs="仿宋_GB2312"/>
                <w:sz w:val="32"/>
                <w:szCs w:val="32"/>
                <w:highlight w:val="none"/>
                <w:lang w:val="en-US" w:eastAsia="zh-CN"/>
              </w:rPr>
              <w:t>67889708</w:t>
            </w:r>
          </w:p>
        </w:tc>
        <w:tc>
          <w:tcPr>
            <w:tcW w:w="1752" w:type="dxa"/>
            <w:noWrap w:val="0"/>
            <w:vAlign w:val="center"/>
          </w:tcPr>
          <w:p w14:paraId="62013FC6">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2F7A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293F403D">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市公安局大兴分局</w:t>
            </w:r>
          </w:p>
        </w:tc>
        <w:tc>
          <w:tcPr>
            <w:tcW w:w="1752" w:type="dxa"/>
            <w:noWrap w:val="0"/>
            <w:vAlign w:val="center"/>
          </w:tcPr>
          <w:p w14:paraId="170E30D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Hans"/>
              </w:rPr>
            </w:pPr>
            <w:r>
              <w:rPr>
                <w:rFonts w:hint="eastAsia" w:ascii="仿宋_GB2312" w:hAnsi="仿宋_GB2312" w:cs="仿宋_GB2312"/>
                <w:sz w:val="32"/>
                <w:szCs w:val="32"/>
                <w:highlight w:val="none"/>
                <w:lang w:val="en-US" w:eastAsia="zh-CN"/>
              </w:rPr>
              <w:t>69242301</w:t>
            </w:r>
          </w:p>
        </w:tc>
        <w:tc>
          <w:tcPr>
            <w:tcW w:w="1976" w:type="dxa"/>
            <w:noWrap w:val="0"/>
            <w:vAlign w:val="center"/>
          </w:tcPr>
          <w:p w14:paraId="51C35A3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Hans"/>
              </w:rPr>
            </w:pPr>
            <w:r>
              <w:rPr>
                <w:rFonts w:hint="eastAsia" w:ascii="仿宋_GB2312" w:hAnsi="仿宋_GB2312" w:cs="仿宋_GB2312"/>
                <w:sz w:val="32"/>
                <w:szCs w:val="32"/>
                <w:highlight w:val="none"/>
                <w:lang w:val="en-US" w:eastAsia="zh-CN"/>
              </w:rPr>
              <w:t>69242301</w:t>
            </w:r>
          </w:p>
        </w:tc>
        <w:tc>
          <w:tcPr>
            <w:tcW w:w="1752" w:type="dxa"/>
            <w:noWrap w:val="0"/>
            <w:vAlign w:val="center"/>
          </w:tcPr>
          <w:p w14:paraId="611DCB74">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4AFC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54F80405">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lang w:val="en-US" w:eastAsia="zh-CN"/>
              </w:rPr>
              <w:t>交通大队</w:t>
            </w:r>
          </w:p>
        </w:tc>
        <w:tc>
          <w:tcPr>
            <w:tcW w:w="1752" w:type="dxa"/>
            <w:noWrap w:val="0"/>
            <w:vAlign w:val="center"/>
          </w:tcPr>
          <w:p w14:paraId="5525A11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68397205</w:t>
            </w:r>
          </w:p>
        </w:tc>
        <w:tc>
          <w:tcPr>
            <w:tcW w:w="1976" w:type="dxa"/>
            <w:noWrap w:val="0"/>
            <w:vAlign w:val="center"/>
          </w:tcPr>
          <w:p w14:paraId="4A4CBF4E">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67881119</w:t>
            </w:r>
          </w:p>
        </w:tc>
        <w:tc>
          <w:tcPr>
            <w:tcW w:w="1752" w:type="dxa"/>
            <w:noWrap w:val="0"/>
            <w:vAlign w:val="center"/>
          </w:tcPr>
          <w:p w14:paraId="254E1FA5">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4ED4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4962C26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经开区</w:t>
            </w:r>
            <w:r>
              <w:rPr>
                <w:rFonts w:hint="eastAsia" w:ascii="仿宋_GB2312" w:hAnsi="仿宋_GB2312" w:eastAsia="仿宋_GB2312" w:cs="仿宋_GB2312"/>
                <w:sz w:val="32"/>
                <w:szCs w:val="32"/>
                <w:highlight w:val="none"/>
                <w:lang w:val="en-US" w:eastAsia="zh-CN"/>
              </w:rPr>
              <w:t>消防救援支队</w:t>
            </w:r>
          </w:p>
        </w:tc>
        <w:tc>
          <w:tcPr>
            <w:tcW w:w="1752" w:type="dxa"/>
            <w:noWrap w:val="0"/>
            <w:vAlign w:val="center"/>
          </w:tcPr>
          <w:p w14:paraId="4544C2C6">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67515119</w:t>
            </w:r>
          </w:p>
        </w:tc>
        <w:tc>
          <w:tcPr>
            <w:tcW w:w="1976" w:type="dxa"/>
            <w:noWrap w:val="0"/>
            <w:vAlign w:val="center"/>
          </w:tcPr>
          <w:p w14:paraId="67AA65CA">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67515119</w:t>
            </w:r>
          </w:p>
        </w:tc>
        <w:tc>
          <w:tcPr>
            <w:tcW w:w="1752" w:type="dxa"/>
            <w:noWrap w:val="0"/>
            <w:vAlign w:val="center"/>
          </w:tcPr>
          <w:p w14:paraId="6C1C84FA">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67515119</w:t>
            </w:r>
          </w:p>
        </w:tc>
      </w:tr>
      <w:tr w14:paraId="1EA6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4E77EDA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pacing w:val="-20"/>
                <w:sz w:val="32"/>
                <w:szCs w:val="32"/>
                <w:highlight w:val="none"/>
                <w:lang w:val="en-US" w:eastAsia="zh-CN"/>
              </w:rPr>
              <w:t>城市运行局</w:t>
            </w:r>
          </w:p>
        </w:tc>
        <w:tc>
          <w:tcPr>
            <w:tcW w:w="1752" w:type="dxa"/>
            <w:noWrap w:val="0"/>
            <w:vAlign w:val="center"/>
          </w:tcPr>
          <w:p w14:paraId="2E84BF48">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67879655</w:t>
            </w:r>
          </w:p>
        </w:tc>
        <w:tc>
          <w:tcPr>
            <w:tcW w:w="1976" w:type="dxa"/>
            <w:noWrap w:val="0"/>
            <w:vAlign w:val="center"/>
          </w:tcPr>
          <w:p w14:paraId="156CBD5B">
            <w:pPr>
              <w:keepNext w:val="0"/>
              <w:keepLines w:val="0"/>
              <w:pageBreakBefore w:val="0"/>
              <w:widowControl/>
              <w:kinsoku/>
              <w:wordWrap/>
              <w:overflowPunct w:val="0"/>
              <w:topLinePunct/>
              <w:autoSpaceDE/>
              <w:autoSpaceDN/>
              <w:bidi w:val="0"/>
              <w:adjustRightInd w:val="0"/>
              <w:snapToGrid w:val="0"/>
              <w:spacing w:line="40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67881207</w:t>
            </w:r>
          </w:p>
          <w:p w14:paraId="443289ED">
            <w:pPr>
              <w:keepNext w:val="0"/>
              <w:keepLines w:val="0"/>
              <w:pageBreakBefore w:val="0"/>
              <w:widowControl/>
              <w:kinsoku/>
              <w:wordWrap/>
              <w:overflowPunct w:val="0"/>
              <w:topLinePunct/>
              <w:autoSpaceDE/>
              <w:autoSpaceDN/>
              <w:bidi w:val="0"/>
              <w:adjustRightInd w:val="0"/>
              <w:snapToGrid w:val="0"/>
              <w:spacing w:line="40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67881105</w:t>
            </w:r>
          </w:p>
          <w:p w14:paraId="09035D60">
            <w:pPr>
              <w:keepNext w:val="0"/>
              <w:keepLines w:val="0"/>
              <w:pageBreakBefore w:val="0"/>
              <w:widowControl/>
              <w:kinsoku/>
              <w:wordWrap/>
              <w:overflowPunct w:val="0"/>
              <w:topLinePunct/>
              <w:autoSpaceDE/>
              <w:autoSpaceDN/>
              <w:bidi w:val="0"/>
              <w:adjustRightInd w:val="0"/>
              <w:snapToGrid w:val="0"/>
              <w:spacing w:line="40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67881118</w:t>
            </w:r>
          </w:p>
        </w:tc>
        <w:tc>
          <w:tcPr>
            <w:tcW w:w="1752" w:type="dxa"/>
            <w:noWrap w:val="0"/>
            <w:vAlign w:val="center"/>
          </w:tcPr>
          <w:p w14:paraId="0A4C8810">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p>
        </w:tc>
      </w:tr>
      <w:tr w14:paraId="6227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1BF1B06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z w:val="32"/>
                <w:szCs w:val="32"/>
                <w:highlight w:val="none"/>
                <w:lang w:val="en-US" w:eastAsia="zh-CN"/>
              </w:rPr>
              <w:t>荣华街道</w:t>
            </w:r>
          </w:p>
        </w:tc>
        <w:tc>
          <w:tcPr>
            <w:tcW w:w="1752" w:type="dxa"/>
            <w:noWrap w:val="0"/>
            <w:vAlign w:val="center"/>
          </w:tcPr>
          <w:p w14:paraId="6EC34446">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67828528</w:t>
            </w:r>
          </w:p>
        </w:tc>
        <w:tc>
          <w:tcPr>
            <w:tcW w:w="1976" w:type="dxa"/>
            <w:noWrap w:val="0"/>
            <w:vAlign w:val="center"/>
          </w:tcPr>
          <w:p w14:paraId="11D8BDCC">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67828528</w:t>
            </w:r>
          </w:p>
        </w:tc>
        <w:tc>
          <w:tcPr>
            <w:tcW w:w="1752" w:type="dxa"/>
            <w:noWrap w:val="0"/>
            <w:vAlign w:val="center"/>
          </w:tcPr>
          <w:p w14:paraId="3BA58ABA">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67837781</w:t>
            </w:r>
          </w:p>
        </w:tc>
      </w:tr>
      <w:tr w14:paraId="28F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4945A0DA">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pacing w:val="-20"/>
                <w:sz w:val="32"/>
                <w:szCs w:val="32"/>
                <w:highlight w:val="none"/>
                <w:lang w:val="en-US" w:eastAsia="zh-CN"/>
              </w:rPr>
              <w:t>博兴街道</w:t>
            </w:r>
          </w:p>
        </w:tc>
        <w:tc>
          <w:tcPr>
            <w:tcW w:w="1752" w:type="dxa"/>
            <w:noWrap w:val="0"/>
            <w:vAlign w:val="center"/>
          </w:tcPr>
          <w:p w14:paraId="39371D6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89084603</w:t>
            </w:r>
          </w:p>
        </w:tc>
        <w:tc>
          <w:tcPr>
            <w:tcW w:w="1976" w:type="dxa"/>
            <w:noWrap w:val="0"/>
            <w:vAlign w:val="center"/>
          </w:tcPr>
          <w:p w14:paraId="3A1F1480">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89028585</w:t>
            </w:r>
          </w:p>
        </w:tc>
        <w:tc>
          <w:tcPr>
            <w:tcW w:w="1752" w:type="dxa"/>
            <w:noWrap w:val="0"/>
            <w:vAlign w:val="center"/>
          </w:tcPr>
          <w:p w14:paraId="08B62FD1">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89028585</w:t>
            </w:r>
          </w:p>
        </w:tc>
      </w:tr>
      <w:tr w14:paraId="78A5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558C6B10">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napToGrid w:val="0"/>
                <w:color w:val="000000"/>
                <w:sz w:val="32"/>
                <w:szCs w:val="32"/>
                <w:highlight w:val="none"/>
                <w:lang w:val="en-US" w:eastAsia="zh-CN" w:bidi="ar-SA"/>
              </w:rPr>
              <w:t>亦庄镇</w:t>
            </w:r>
          </w:p>
        </w:tc>
        <w:tc>
          <w:tcPr>
            <w:tcW w:w="1752" w:type="dxa"/>
            <w:noWrap w:val="0"/>
            <w:vAlign w:val="center"/>
          </w:tcPr>
          <w:p w14:paraId="54D3CD3A">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napToGrid w:val="0"/>
                <w:color w:val="000000"/>
                <w:sz w:val="32"/>
                <w:szCs w:val="32"/>
                <w:highlight w:val="none"/>
                <w:lang w:val="en-US" w:eastAsia="zh-CN" w:bidi="ar-SA"/>
              </w:rPr>
              <w:t>67881507</w:t>
            </w:r>
          </w:p>
        </w:tc>
        <w:tc>
          <w:tcPr>
            <w:tcW w:w="1976" w:type="dxa"/>
            <w:noWrap w:val="0"/>
            <w:vAlign w:val="center"/>
          </w:tcPr>
          <w:p w14:paraId="16471693">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napToGrid w:val="0"/>
                <w:color w:val="000000"/>
                <w:sz w:val="32"/>
                <w:szCs w:val="32"/>
                <w:highlight w:val="none"/>
                <w:lang w:val="en-US" w:eastAsia="zh-CN" w:bidi="ar-SA"/>
              </w:rPr>
              <w:t>67881507</w:t>
            </w:r>
          </w:p>
        </w:tc>
        <w:tc>
          <w:tcPr>
            <w:tcW w:w="1752" w:type="dxa"/>
            <w:noWrap w:val="0"/>
            <w:vAlign w:val="center"/>
          </w:tcPr>
          <w:p w14:paraId="302F9940">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napToGrid w:val="0"/>
                <w:color w:val="000000"/>
                <w:sz w:val="32"/>
                <w:szCs w:val="32"/>
                <w:highlight w:val="none"/>
                <w:lang w:val="en-US" w:eastAsia="zh-CN" w:bidi="ar-SA"/>
              </w:rPr>
              <w:t>67881507</w:t>
            </w:r>
          </w:p>
        </w:tc>
      </w:tr>
      <w:tr w14:paraId="6E48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1ACE1C68">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pacing w:val="-20"/>
                <w:sz w:val="32"/>
                <w:szCs w:val="32"/>
                <w:highlight w:val="none"/>
                <w:lang w:val="en-US" w:eastAsia="zh-CN"/>
              </w:rPr>
              <w:t>瀛海镇</w:t>
            </w:r>
          </w:p>
        </w:tc>
        <w:tc>
          <w:tcPr>
            <w:tcW w:w="1752" w:type="dxa"/>
            <w:noWrap w:val="0"/>
            <w:vAlign w:val="center"/>
          </w:tcPr>
          <w:p w14:paraId="0F39FA97">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69277147</w:t>
            </w:r>
          </w:p>
        </w:tc>
        <w:tc>
          <w:tcPr>
            <w:tcW w:w="1976" w:type="dxa"/>
            <w:noWrap w:val="0"/>
            <w:vAlign w:val="center"/>
          </w:tcPr>
          <w:p w14:paraId="7866E711">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69278211</w:t>
            </w:r>
          </w:p>
        </w:tc>
        <w:tc>
          <w:tcPr>
            <w:tcW w:w="1752" w:type="dxa"/>
            <w:noWrap w:val="0"/>
            <w:vAlign w:val="center"/>
          </w:tcPr>
          <w:p w14:paraId="03DA12D3">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69279188</w:t>
            </w:r>
          </w:p>
        </w:tc>
      </w:tr>
      <w:tr w14:paraId="117F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8" w:type="dxa"/>
            <w:noWrap w:val="0"/>
            <w:vAlign w:val="center"/>
          </w:tcPr>
          <w:p w14:paraId="741C8F54">
            <w:pPr>
              <w:pageBreakBefore w:val="0"/>
              <w:kinsoku/>
              <w:wordWrap/>
              <w:overflowPunct w:val="0"/>
              <w:topLinePunct/>
              <w:autoSpaceDE/>
              <w:autoSpaceDN/>
              <w:bidi w:val="0"/>
              <w:spacing w:line="560" w:lineRule="exact"/>
              <w:ind w:left="0" w:leftChars="0" w:firstLine="0" w:firstLineChars="0"/>
              <w:jc w:val="center"/>
              <w:textAlignment w:val="auto"/>
              <w:rPr>
                <w:rFonts w:hint="default"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cs="仿宋_GB2312"/>
                <w:snapToGrid w:val="0"/>
                <w:color w:val="000000"/>
                <w:sz w:val="32"/>
                <w:szCs w:val="32"/>
                <w:highlight w:val="none"/>
                <w:lang w:val="en-US" w:eastAsia="zh-CN" w:bidi="ar-SA"/>
              </w:rPr>
              <w:t>台湖镇</w:t>
            </w:r>
          </w:p>
        </w:tc>
        <w:tc>
          <w:tcPr>
            <w:tcW w:w="1752" w:type="dxa"/>
            <w:noWrap w:val="0"/>
            <w:vAlign w:val="center"/>
          </w:tcPr>
          <w:p w14:paraId="39DCBCB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61532855</w:t>
            </w:r>
          </w:p>
        </w:tc>
        <w:tc>
          <w:tcPr>
            <w:tcW w:w="1976" w:type="dxa"/>
            <w:noWrap w:val="0"/>
            <w:vAlign w:val="center"/>
          </w:tcPr>
          <w:p w14:paraId="26635A26">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61538210</w:t>
            </w:r>
          </w:p>
        </w:tc>
        <w:tc>
          <w:tcPr>
            <w:tcW w:w="1752" w:type="dxa"/>
            <w:noWrap w:val="0"/>
            <w:vAlign w:val="center"/>
          </w:tcPr>
          <w:p w14:paraId="3E5E1F22">
            <w:pPr>
              <w:pageBreakBefore w:val="0"/>
              <w:kinsoku/>
              <w:wordWrap/>
              <w:overflowPunct w:val="0"/>
              <w:topLinePunct/>
              <w:autoSpaceDE/>
              <w:autoSpaceDN/>
              <w:bidi w:val="0"/>
              <w:spacing w:line="560" w:lineRule="exact"/>
              <w:ind w:left="0" w:leftChars="0" w:firstLine="0" w:firstLineChars="0"/>
              <w:jc w:val="center"/>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61532189</w:t>
            </w:r>
          </w:p>
        </w:tc>
      </w:tr>
    </w:tbl>
    <w:p w14:paraId="2E31B9FD">
      <w:pPr>
        <w:ind w:left="0" w:leftChars="0" w:firstLine="0" w:firstLineChars="0"/>
        <w:jc w:val="center"/>
        <w:rPr>
          <w:rFonts w:hint="eastAsia"/>
          <w:highlight w:val="none"/>
          <w:lang w:val="en-US" w:eastAsia="zh-CN"/>
        </w:rPr>
      </w:pPr>
    </w:p>
    <w:p w14:paraId="70A53CE2">
      <w:pPr>
        <w:pageBreakBefore w:val="0"/>
        <w:kinsoku/>
        <w:wordWrap/>
        <w:overflowPunct w:val="0"/>
        <w:bidi w:val="0"/>
        <w:spacing w:line="560" w:lineRule="exact"/>
        <w:jc w:val="center"/>
        <w:rPr>
          <w:rFonts w:hint="eastAsia"/>
          <w:highlight w:val="none"/>
        </w:rPr>
      </w:pPr>
    </w:p>
    <w:sectPr>
      <w:pgSz w:w="11905" w:h="16838"/>
      <w:pgMar w:top="2098" w:right="1474" w:bottom="1984" w:left="1587" w:header="851" w:footer="992" w:gutter="0"/>
      <w:pgNumType w:fmt="decimal"/>
      <w:cols w:space="0" w:num="1"/>
      <w:rtlGutter w:val="0"/>
      <w:docGrid w:type="lines" w:linePitch="42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294A6-167C-4A91-A7DD-6B5FA003B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F8A40F-5210-4DB8-B331-A497BF24E5B2}"/>
  </w:font>
  <w:font w:name="仿宋_GB2312">
    <w:panose1 w:val="02010609030101010101"/>
    <w:charset w:val="86"/>
    <w:family w:val="modern"/>
    <w:pitch w:val="default"/>
    <w:sig w:usb0="00000001" w:usb1="080E0000" w:usb2="00000000" w:usb3="00000000" w:csb0="00040000" w:csb1="00000000"/>
    <w:embedRegular r:id="rId3" w:fontKey="{509F818B-5994-455F-8B10-3EA607D53CAB}"/>
  </w:font>
  <w:font w:name="楷体_GB2312">
    <w:panose1 w:val="02010609030101010101"/>
    <w:charset w:val="86"/>
    <w:family w:val="modern"/>
    <w:pitch w:val="default"/>
    <w:sig w:usb0="00000001" w:usb1="080E0000" w:usb2="00000000" w:usb3="00000000" w:csb0="00040000" w:csb1="00000000"/>
    <w:embedRegular r:id="rId4" w:fontKey="{1AB3BA95-E902-4B11-ACF7-FC4548BA96AC}"/>
  </w:font>
  <w:font w:name="仿宋">
    <w:panose1 w:val="02010609060101010101"/>
    <w:charset w:val="86"/>
    <w:family w:val="modern"/>
    <w:pitch w:val="default"/>
    <w:sig w:usb0="800002BF" w:usb1="38CF7CFA" w:usb2="00000016" w:usb3="00000000" w:csb0="00040001" w:csb1="00000000"/>
    <w:embedRegular r:id="rId5" w:fontKey="{19A345C2-319D-4E73-8120-772DBC7B1D8E}"/>
  </w:font>
  <w:font w:name="方正小标宋简体">
    <w:panose1 w:val="03000509000000000000"/>
    <w:charset w:val="86"/>
    <w:family w:val="script"/>
    <w:pitch w:val="default"/>
    <w:sig w:usb0="00000001" w:usb1="080E0000" w:usb2="00000000" w:usb3="00000000" w:csb0="00040000" w:csb1="00000000"/>
    <w:embedRegular r:id="rId6" w:fontKey="{AECF0304-1516-4722-9A49-202F6FB48974}"/>
  </w:font>
  <w:font w:name="方正仿宋_GB2312">
    <w:panose1 w:val="02000000000000000000"/>
    <w:charset w:val="86"/>
    <w:family w:val="auto"/>
    <w:pitch w:val="default"/>
    <w:sig w:usb0="A00002BF" w:usb1="184F6CFA" w:usb2="00000012" w:usb3="00000000" w:csb0="00040001" w:csb1="00000000"/>
    <w:embedRegular r:id="rId7" w:fontKey="{612F09E1-4428-46E5-84FD-A12F0DAC37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B9E0">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B1FC4">
                          <w:pPr>
                            <w:pStyle w:val="15"/>
                            <w:ind w:firstLine="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I</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9B1FC4">
                    <w:pPr>
                      <w:pStyle w:val="15"/>
                      <w:ind w:firstLine="3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I</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60B2">
    <w:pPr>
      <w:spacing w:line="116" w:lineRule="exact"/>
      <w:ind w:firstLine="36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37F56">
                          <w:pPr>
                            <w:pStyle w:val="15"/>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237F56">
                    <w:pPr>
                      <w:pStyle w:val="15"/>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AA97">
    <w:pPr>
      <w:pStyle w:val="16"/>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87366"/>
    <w:multiLevelType w:val="multilevel"/>
    <w:tmpl w:val="93C8736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21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ZWFmZDRiZjk2ZDEzNmI2YTNkNzA1YTYxNjVhYzYifQ=="/>
  </w:docVars>
  <w:rsids>
    <w:rsidRoot w:val="00172A27"/>
    <w:rsid w:val="000058E0"/>
    <w:rsid w:val="000135BF"/>
    <w:rsid w:val="0005798B"/>
    <w:rsid w:val="00172A27"/>
    <w:rsid w:val="00250E0A"/>
    <w:rsid w:val="002517CA"/>
    <w:rsid w:val="00256D59"/>
    <w:rsid w:val="002E6C8A"/>
    <w:rsid w:val="00304686"/>
    <w:rsid w:val="003114A0"/>
    <w:rsid w:val="0034094A"/>
    <w:rsid w:val="00351A39"/>
    <w:rsid w:val="003926F2"/>
    <w:rsid w:val="00402ACA"/>
    <w:rsid w:val="004260B2"/>
    <w:rsid w:val="0044720A"/>
    <w:rsid w:val="00456D6E"/>
    <w:rsid w:val="00461E5D"/>
    <w:rsid w:val="0046442B"/>
    <w:rsid w:val="0051157E"/>
    <w:rsid w:val="005418DE"/>
    <w:rsid w:val="006C1CC0"/>
    <w:rsid w:val="006C2C0E"/>
    <w:rsid w:val="006D55BF"/>
    <w:rsid w:val="00722540"/>
    <w:rsid w:val="008436D4"/>
    <w:rsid w:val="008532AD"/>
    <w:rsid w:val="008A250F"/>
    <w:rsid w:val="008A5047"/>
    <w:rsid w:val="00A00A32"/>
    <w:rsid w:val="00A81D22"/>
    <w:rsid w:val="00B1256E"/>
    <w:rsid w:val="00B554F2"/>
    <w:rsid w:val="00B56675"/>
    <w:rsid w:val="00C12DE3"/>
    <w:rsid w:val="00CA6C52"/>
    <w:rsid w:val="00D43159"/>
    <w:rsid w:val="00D5178E"/>
    <w:rsid w:val="00D542DA"/>
    <w:rsid w:val="00DA19DE"/>
    <w:rsid w:val="00DF09B2"/>
    <w:rsid w:val="00EE444D"/>
    <w:rsid w:val="00F32D44"/>
    <w:rsid w:val="00F96295"/>
    <w:rsid w:val="010664FB"/>
    <w:rsid w:val="01195642"/>
    <w:rsid w:val="01487256"/>
    <w:rsid w:val="015770BC"/>
    <w:rsid w:val="01B67B96"/>
    <w:rsid w:val="01FB40D3"/>
    <w:rsid w:val="020C6D6D"/>
    <w:rsid w:val="020F7C1F"/>
    <w:rsid w:val="022A458F"/>
    <w:rsid w:val="023B0076"/>
    <w:rsid w:val="02517E99"/>
    <w:rsid w:val="02704AC1"/>
    <w:rsid w:val="027053E6"/>
    <w:rsid w:val="02784B76"/>
    <w:rsid w:val="02DE36DC"/>
    <w:rsid w:val="02E73B42"/>
    <w:rsid w:val="02E767ED"/>
    <w:rsid w:val="0331105F"/>
    <w:rsid w:val="033C0E47"/>
    <w:rsid w:val="036A0A45"/>
    <w:rsid w:val="037D086E"/>
    <w:rsid w:val="03A10821"/>
    <w:rsid w:val="03AE7CE5"/>
    <w:rsid w:val="03E027AB"/>
    <w:rsid w:val="03F4702C"/>
    <w:rsid w:val="03F6694C"/>
    <w:rsid w:val="040A67B1"/>
    <w:rsid w:val="04164933"/>
    <w:rsid w:val="04266A07"/>
    <w:rsid w:val="04354B38"/>
    <w:rsid w:val="044762A6"/>
    <w:rsid w:val="049F52DD"/>
    <w:rsid w:val="04B627AB"/>
    <w:rsid w:val="04BD1B14"/>
    <w:rsid w:val="05190A51"/>
    <w:rsid w:val="051C5408"/>
    <w:rsid w:val="0543480D"/>
    <w:rsid w:val="05504736"/>
    <w:rsid w:val="05641788"/>
    <w:rsid w:val="056964A8"/>
    <w:rsid w:val="057F7F0D"/>
    <w:rsid w:val="05B56049"/>
    <w:rsid w:val="05C84C14"/>
    <w:rsid w:val="05D6061E"/>
    <w:rsid w:val="05E274B2"/>
    <w:rsid w:val="060F3573"/>
    <w:rsid w:val="06451DC1"/>
    <w:rsid w:val="066F3CB0"/>
    <w:rsid w:val="068419D6"/>
    <w:rsid w:val="06E074A5"/>
    <w:rsid w:val="071D689A"/>
    <w:rsid w:val="07230CCD"/>
    <w:rsid w:val="076B1CFB"/>
    <w:rsid w:val="078514E2"/>
    <w:rsid w:val="07B436A2"/>
    <w:rsid w:val="07B70A9C"/>
    <w:rsid w:val="07BD7130"/>
    <w:rsid w:val="07C173D3"/>
    <w:rsid w:val="07DE73FE"/>
    <w:rsid w:val="07E95DA4"/>
    <w:rsid w:val="0809289D"/>
    <w:rsid w:val="080D300D"/>
    <w:rsid w:val="08316AA1"/>
    <w:rsid w:val="085E2A6E"/>
    <w:rsid w:val="08672810"/>
    <w:rsid w:val="087B220D"/>
    <w:rsid w:val="08832F20"/>
    <w:rsid w:val="08BD11E5"/>
    <w:rsid w:val="08D12032"/>
    <w:rsid w:val="08D413C2"/>
    <w:rsid w:val="09012917"/>
    <w:rsid w:val="091068FD"/>
    <w:rsid w:val="092D2419"/>
    <w:rsid w:val="092F63B2"/>
    <w:rsid w:val="09460264"/>
    <w:rsid w:val="094A6D04"/>
    <w:rsid w:val="094D790A"/>
    <w:rsid w:val="094F396E"/>
    <w:rsid w:val="0952552C"/>
    <w:rsid w:val="09683614"/>
    <w:rsid w:val="09764EF6"/>
    <w:rsid w:val="097736D5"/>
    <w:rsid w:val="097F3798"/>
    <w:rsid w:val="09811362"/>
    <w:rsid w:val="09872A66"/>
    <w:rsid w:val="09A80FE4"/>
    <w:rsid w:val="09A97611"/>
    <w:rsid w:val="09CE5ADC"/>
    <w:rsid w:val="09DC5427"/>
    <w:rsid w:val="09DE5007"/>
    <w:rsid w:val="09E417DC"/>
    <w:rsid w:val="0A0250B2"/>
    <w:rsid w:val="0A0A4155"/>
    <w:rsid w:val="0A2F40D5"/>
    <w:rsid w:val="0A4277A6"/>
    <w:rsid w:val="0A926F89"/>
    <w:rsid w:val="0AD32091"/>
    <w:rsid w:val="0AEB79C7"/>
    <w:rsid w:val="0B062139"/>
    <w:rsid w:val="0B2C56BA"/>
    <w:rsid w:val="0B495EAF"/>
    <w:rsid w:val="0B6A7300"/>
    <w:rsid w:val="0B71410B"/>
    <w:rsid w:val="0BB93035"/>
    <w:rsid w:val="0BDD7C8A"/>
    <w:rsid w:val="0BEA313C"/>
    <w:rsid w:val="0C0149DC"/>
    <w:rsid w:val="0C0569C6"/>
    <w:rsid w:val="0C143969"/>
    <w:rsid w:val="0C2D56C2"/>
    <w:rsid w:val="0C48317F"/>
    <w:rsid w:val="0C4E3D23"/>
    <w:rsid w:val="0C5965C6"/>
    <w:rsid w:val="0C796C68"/>
    <w:rsid w:val="0C8B3C1E"/>
    <w:rsid w:val="0C96338F"/>
    <w:rsid w:val="0CC31C91"/>
    <w:rsid w:val="0D3F1719"/>
    <w:rsid w:val="0D6470A7"/>
    <w:rsid w:val="0D7C2CD9"/>
    <w:rsid w:val="0D7D4536"/>
    <w:rsid w:val="0DB9300E"/>
    <w:rsid w:val="0DC3031C"/>
    <w:rsid w:val="0DCD1761"/>
    <w:rsid w:val="0DE01542"/>
    <w:rsid w:val="0DF219DC"/>
    <w:rsid w:val="0DF447F8"/>
    <w:rsid w:val="0E2B792F"/>
    <w:rsid w:val="0E784785"/>
    <w:rsid w:val="0E91424C"/>
    <w:rsid w:val="0E937374"/>
    <w:rsid w:val="0EA1346E"/>
    <w:rsid w:val="0EC07807"/>
    <w:rsid w:val="0EC65EEA"/>
    <w:rsid w:val="0ED37CED"/>
    <w:rsid w:val="0EEE737E"/>
    <w:rsid w:val="0F2729AB"/>
    <w:rsid w:val="0F533D1F"/>
    <w:rsid w:val="0F7C2CF7"/>
    <w:rsid w:val="0F96368D"/>
    <w:rsid w:val="0F97086E"/>
    <w:rsid w:val="0FAE04B3"/>
    <w:rsid w:val="10007E89"/>
    <w:rsid w:val="101B6F95"/>
    <w:rsid w:val="102F0038"/>
    <w:rsid w:val="10973B61"/>
    <w:rsid w:val="10A56D0B"/>
    <w:rsid w:val="10A93D64"/>
    <w:rsid w:val="10BC6B6C"/>
    <w:rsid w:val="10DD5A17"/>
    <w:rsid w:val="10DE019B"/>
    <w:rsid w:val="10E420E0"/>
    <w:rsid w:val="10E8616A"/>
    <w:rsid w:val="10F51AB3"/>
    <w:rsid w:val="110E3E23"/>
    <w:rsid w:val="111E17A6"/>
    <w:rsid w:val="1133356E"/>
    <w:rsid w:val="117479FE"/>
    <w:rsid w:val="11B10722"/>
    <w:rsid w:val="11E50B53"/>
    <w:rsid w:val="11F83793"/>
    <w:rsid w:val="11FA7F03"/>
    <w:rsid w:val="11FB56CD"/>
    <w:rsid w:val="121D49CA"/>
    <w:rsid w:val="122F11BA"/>
    <w:rsid w:val="123B5C75"/>
    <w:rsid w:val="12477EB9"/>
    <w:rsid w:val="12641821"/>
    <w:rsid w:val="12670B43"/>
    <w:rsid w:val="1286241A"/>
    <w:rsid w:val="128D0D77"/>
    <w:rsid w:val="12AD4FA6"/>
    <w:rsid w:val="12E117BE"/>
    <w:rsid w:val="12E30655"/>
    <w:rsid w:val="12F80B39"/>
    <w:rsid w:val="13185C15"/>
    <w:rsid w:val="13236371"/>
    <w:rsid w:val="13274D05"/>
    <w:rsid w:val="1339624C"/>
    <w:rsid w:val="135309DF"/>
    <w:rsid w:val="1377691A"/>
    <w:rsid w:val="13CC37B1"/>
    <w:rsid w:val="13D056F9"/>
    <w:rsid w:val="13EF1EDE"/>
    <w:rsid w:val="13FF61C6"/>
    <w:rsid w:val="141A2573"/>
    <w:rsid w:val="142C45C0"/>
    <w:rsid w:val="14521232"/>
    <w:rsid w:val="14616CEA"/>
    <w:rsid w:val="14770F0A"/>
    <w:rsid w:val="14826499"/>
    <w:rsid w:val="14A76710"/>
    <w:rsid w:val="14EE6F0E"/>
    <w:rsid w:val="14F42397"/>
    <w:rsid w:val="15043D5A"/>
    <w:rsid w:val="150D2110"/>
    <w:rsid w:val="15353963"/>
    <w:rsid w:val="1540264F"/>
    <w:rsid w:val="154716B1"/>
    <w:rsid w:val="155D7AD4"/>
    <w:rsid w:val="15A7A467"/>
    <w:rsid w:val="15D3209E"/>
    <w:rsid w:val="15E17D08"/>
    <w:rsid w:val="15F72055"/>
    <w:rsid w:val="160F4041"/>
    <w:rsid w:val="16161084"/>
    <w:rsid w:val="16196205"/>
    <w:rsid w:val="1636753F"/>
    <w:rsid w:val="165761BD"/>
    <w:rsid w:val="166A3D9C"/>
    <w:rsid w:val="16745F63"/>
    <w:rsid w:val="169D2A45"/>
    <w:rsid w:val="16A13AE8"/>
    <w:rsid w:val="16AD0506"/>
    <w:rsid w:val="16C15E40"/>
    <w:rsid w:val="16DC3D8E"/>
    <w:rsid w:val="16EE6E9D"/>
    <w:rsid w:val="172D705F"/>
    <w:rsid w:val="17342F98"/>
    <w:rsid w:val="17367C2F"/>
    <w:rsid w:val="173C3B90"/>
    <w:rsid w:val="174336F0"/>
    <w:rsid w:val="174B2B0E"/>
    <w:rsid w:val="1764388A"/>
    <w:rsid w:val="17A85D7C"/>
    <w:rsid w:val="17D23A25"/>
    <w:rsid w:val="17DE5C72"/>
    <w:rsid w:val="17EB72BA"/>
    <w:rsid w:val="17F12F10"/>
    <w:rsid w:val="18014675"/>
    <w:rsid w:val="18022D5B"/>
    <w:rsid w:val="18490804"/>
    <w:rsid w:val="18E441A1"/>
    <w:rsid w:val="18E965BC"/>
    <w:rsid w:val="18EE3DC8"/>
    <w:rsid w:val="18F953B8"/>
    <w:rsid w:val="19067AED"/>
    <w:rsid w:val="19567D2C"/>
    <w:rsid w:val="195E07D5"/>
    <w:rsid w:val="196F0A56"/>
    <w:rsid w:val="197B401F"/>
    <w:rsid w:val="19841E03"/>
    <w:rsid w:val="199724DC"/>
    <w:rsid w:val="19AF3AE6"/>
    <w:rsid w:val="19AF7825"/>
    <w:rsid w:val="19E66CFD"/>
    <w:rsid w:val="1A0B2535"/>
    <w:rsid w:val="1A1136B3"/>
    <w:rsid w:val="1A224575"/>
    <w:rsid w:val="1A27399D"/>
    <w:rsid w:val="1AAD3782"/>
    <w:rsid w:val="1AB433B3"/>
    <w:rsid w:val="1AE84C54"/>
    <w:rsid w:val="1AED1B66"/>
    <w:rsid w:val="1B0522BE"/>
    <w:rsid w:val="1B2B0E96"/>
    <w:rsid w:val="1B4632A3"/>
    <w:rsid w:val="1B4E677F"/>
    <w:rsid w:val="1B572F6A"/>
    <w:rsid w:val="1B8B42C2"/>
    <w:rsid w:val="1BB17591"/>
    <w:rsid w:val="1BB5396A"/>
    <w:rsid w:val="1BB57F38"/>
    <w:rsid w:val="1BE064C7"/>
    <w:rsid w:val="1BF63E31"/>
    <w:rsid w:val="1C120AA9"/>
    <w:rsid w:val="1C1F4CAA"/>
    <w:rsid w:val="1C3919DF"/>
    <w:rsid w:val="1C607BAF"/>
    <w:rsid w:val="1C8A31B2"/>
    <w:rsid w:val="1CA90EA4"/>
    <w:rsid w:val="1CCA0BA3"/>
    <w:rsid w:val="1CD43FC7"/>
    <w:rsid w:val="1CF26F47"/>
    <w:rsid w:val="1CF53912"/>
    <w:rsid w:val="1D00557C"/>
    <w:rsid w:val="1D072766"/>
    <w:rsid w:val="1D102C46"/>
    <w:rsid w:val="1D174F16"/>
    <w:rsid w:val="1D2302DB"/>
    <w:rsid w:val="1D256942"/>
    <w:rsid w:val="1D2D236D"/>
    <w:rsid w:val="1D5B186D"/>
    <w:rsid w:val="1D631052"/>
    <w:rsid w:val="1D664AC2"/>
    <w:rsid w:val="1D6B4F28"/>
    <w:rsid w:val="1D9619FB"/>
    <w:rsid w:val="1DA0099F"/>
    <w:rsid w:val="1DC00253"/>
    <w:rsid w:val="1DDD257C"/>
    <w:rsid w:val="1DF148B0"/>
    <w:rsid w:val="1E0E1162"/>
    <w:rsid w:val="1E1B305A"/>
    <w:rsid w:val="1E341D54"/>
    <w:rsid w:val="1E3B3307"/>
    <w:rsid w:val="1E45337F"/>
    <w:rsid w:val="1E4E413A"/>
    <w:rsid w:val="1E5B2B48"/>
    <w:rsid w:val="1E792EF6"/>
    <w:rsid w:val="1EBF7FB0"/>
    <w:rsid w:val="1EE53AB7"/>
    <w:rsid w:val="1F031B0F"/>
    <w:rsid w:val="1F0A3F2F"/>
    <w:rsid w:val="1F1C08E1"/>
    <w:rsid w:val="1F1F71FB"/>
    <w:rsid w:val="1F31295A"/>
    <w:rsid w:val="1F316F2E"/>
    <w:rsid w:val="1F5B7E91"/>
    <w:rsid w:val="1F625134"/>
    <w:rsid w:val="1F673B51"/>
    <w:rsid w:val="1F880941"/>
    <w:rsid w:val="1F8E74F3"/>
    <w:rsid w:val="1FC97030"/>
    <w:rsid w:val="1FD552B3"/>
    <w:rsid w:val="1FD92CDE"/>
    <w:rsid w:val="1FDC333E"/>
    <w:rsid w:val="1FDE70B6"/>
    <w:rsid w:val="1FEFC8CD"/>
    <w:rsid w:val="1FF3262A"/>
    <w:rsid w:val="203A6D77"/>
    <w:rsid w:val="20607E09"/>
    <w:rsid w:val="206F111C"/>
    <w:rsid w:val="20C21CF6"/>
    <w:rsid w:val="20C51417"/>
    <w:rsid w:val="20C75D9C"/>
    <w:rsid w:val="20EA2AED"/>
    <w:rsid w:val="20EC29C2"/>
    <w:rsid w:val="214D63B6"/>
    <w:rsid w:val="216435EB"/>
    <w:rsid w:val="2182656E"/>
    <w:rsid w:val="21CA22A2"/>
    <w:rsid w:val="21D05EC6"/>
    <w:rsid w:val="21D56297"/>
    <w:rsid w:val="21D73DBD"/>
    <w:rsid w:val="21F6713D"/>
    <w:rsid w:val="2206209B"/>
    <w:rsid w:val="221801BF"/>
    <w:rsid w:val="22317971"/>
    <w:rsid w:val="223C6BD4"/>
    <w:rsid w:val="22481542"/>
    <w:rsid w:val="227B6E3E"/>
    <w:rsid w:val="2288155B"/>
    <w:rsid w:val="229B3E5C"/>
    <w:rsid w:val="22B06C3A"/>
    <w:rsid w:val="22BC3298"/>
    <w:rsid w:val="22CB7FA9"/>
    <w:rsid w:val="22FF1184"/>
    <w:rsid w:val="23274A15"/>
    <w:rsid w:val="23490CEA"/>
    <w:rsid w:val="23506392"/>
    <w:rsid w:val="235A6CAA"/>
    <w:rsid w:val="237165FF"/>
    <w:rsid w:val="23770C55"/>
    <w:rsid w:val="23786BBE"/>
    <w:rsid w:val="238815C6"/>
    <w:rsid w:val="23BD773B"/>
    <w:rsid w:val="23C16AD3"/>
    <w:rsid w:val="23CC025A"/>
    <w:rsid w:val="240348D3"/>
    <w:rsid w:val="241F5BFC"/>
    <w:rsid w:val="24564CE1"/>
    <w:rsid w:val="24D83ECE"/>
    <w:rsid w:val="24E702DC"/>
    <w:rsid w:val="24E87743"/>
    <w:rsid w:val="24EB73C3"/>
    <w:rsid w:val="25001476"/>
    <w:rsid w:val="250B5AC7"/>
    <w:rsid w:val="251E1D03"/>
    <w:rsid w:val="251E669C"/>
    <w:rsid w:val="25642C6B"/>
    <w:rsid w:val="25877235"/>
    <w:rsid w:val="259D250F"/>
    <w:rsid w:val="259F0DDB"/>
    <w:rsid w:val="26483E76"/>
    <w:rsid w:val="2684434D"/>
    <w:rsid w:val="268D2E7B"/>
    <w:rsid w:val="26AA5FA5"/>
    <w:rsid w:val="26B8385C"/>
    <w:rsid w:val="26D33589"/>
    <w:rsid w:val="26E97F59"/>
    <w:rsid w:val="26F4289B"/>
    <w:rsid w:val="271E7498"/>
    <w:rsid w:val="272D52B9"/>
    <w:rsid w:val="27602494"/>
    <w:rsid w:val="276170A1"/>
    <w:rsid w:val="277968A0"/>
    <w:rsid w:val="27816AAD"/>
    <w:rsid w:val="27940FAC"/>
    <w:rsid w:val="27DF2DC7"/>
    <w:rsid w:val="27EA380C"/>
    <w:rsid w:val="27F3D41A"/>
    <w:rsid w:val="27F47E39"/>
    <w:rsid w:val="27FC396E"/>
    <w:rsid w:val="28071964"/>
    <w:rsid w:val="28140F20"/>
    <w:rsid w:val="28305FD5"/>
    <w:rsid w:val="283A6E54"/>
    <w:rsid w:val="284B0782"/>
    <w:rsid w:val="285E0D94"/>
    <w:rsid w:val="287D7963"/>
    <w:rsid w:val="28884063"/>
    <w:rsid w:val="288D2936"/>
    <w:rsid w:val="28984C7A"/>
    <w:rsid w:val="28B0085E"/>
    <w:rsid w:val="28F94556"/>
    <w:rsid w:val="290C7449"/>
    <w:rsid w:val="2933713D"/>
    <w:rsid w:val="296E3259"/>
    <w:rsid w:val="29825277"/>
    <w:rsid w:val="298D1FAA"/>
    <w:rsid w:val="29934A6D"/>
    <w:rsid w:val="29E44A3E"/>
    <w:rsid w:val="29E54A4B"/>
    <w:rsid w:val="29FD5B8C"/>
    <w:rsid w:val="2A2739A1"/>
    <w:rsid w:val="2A60528C"/>
    <w:rsid w:val="2A875C1F"/>
    <w:rsid w:val="2AA93164"/>
    <w:rsid w:val="2AAE469E"/>
    <w:rsid w:val="2AB31E07"/>
    <w:rsid w:val="2AB87E81"/>
    <w:rsid w:val="2ACA6621"/>
    <w:rsid w:val="2B1D085E"/>
    <w:rsid w:val="2B5E745C"/>
    <w:rsid w:val="2B742BAB"/>
    <w:rsid w:val="2B980D20"/>
    <w:rsid w:val="2BB141EB"/>
    <w:rsid w:val="2BCE29B1"/>
    <w:rsid w:val="2BE84B87"/>
    <w:rsid w:val="2BFF702F"/>
    <w:rsid w:val="2C0A0D35"/>
    <w:rsid w:val="2C3E07F5"/>
    <w:rsid w:val="2C5D4207"/>
    <w:rsid w:val="2C6564B2"/>
    <w:rsid w:val="2C987895"/>
    <w:rsid w:val="2CA07111"/>
    <w:rsid w:val="2CA50ADA"/>
    <w:rsid w:val="2CB423E6"/>
    <w:rsid w:val="2CC444C4"/>
    <w:rsid w:val="2CE21C29"/>
    <w:rsid w:val="2CF33A75"/>
    <w:rsid w:val="2CFB4DE2"/>
    <w:rsid w:val="2D1E05C1"/>
    <w:rsid w:val="2D305DE2"/>
    <w:rsid w:val="2D442DE3"/>
    <w:rsid w:val="2D49136E"/>
    <w:rsid w:val="2D6A1E4E"/>
    <w:rsid w:val="2D77634C"/>
    <w:rsid w:val="2D846C9A"/>
    <w:rsid w:val="2D8F4889"/>
    <w:rsid w:val="2D9011DB"/>
    <w:rsid w:val="2D931C11"/>
    <w:rsid w:val="2DAF5BEE"/>
    <w:rsid w:val="2DB25456"/>
    <w:rsid w:val="2DD72387"/>
    <w:rsid w:val="2DFFBFA9"/>
    <w:rsid w:val="2E02291E"/>
    <w:rsid w:val="2E0F261D"/>
    <w:rsid w:val="2E2E3D51"/>
    <w:rsid w:val="2E514979"/>
    <w:rsid w:val="2E693A7F"/>
    <w:rsid w:val="2E786DB1"/>
    <w:rsid w:val="2E8331A7"/>
    <w:rsid w:val="2E8B21B7"/>
    <w:rsid w:val="2E9349EF"/>
    <w:rsid w:val="2EB536D8"/>
    <w:rsid w:val="2EF574C2"/>
    <w:rsid w:val="2F24C3C6"/>
    <w:rsid w:val="2F2C4C16"/>
    <w:rsid w:val="2F6D2AA2"/>
    <w:rsid w:val="2F95041E"/>
    <w:rsid w:val="2F967065"/>
    <w:rsid w:val="2FAE78EC"/>
    <w:rsid w:val="300B1B2D"/>
    <w:rsid w:val="302B6474"/>
    <w:rsid w:val="3034687E"/>
    <w:rsid w:val="303F594F"/>
    <w:rsid w:val="30A145D5"/>
    <w:rsid w:val="30BA6D84"/>
    <w:rsid w:val="30C379CC"/>
    <w:rsid w:val="30E06E08"/>
    <w:rsid w:val="30F1626C"/>
    <w:rsid w:val="30F22F8B"/>
    <w:rsid w:val="31177182"/>
    <w:rsid w:val="312223EE"/>
    <w:rsid w:val="31285AC6"/>
    <w:rsid w:val="313E38FF"/>
    <w:rsid w:val="314E3989"/>
    <w:rsid w:val="31681250"/>
    <w:rsid w:val="31804F37"/>
    <w:rsid w:val="31E00868"/>
    <w:rsid w:val="3220355E"/>
    <w:rsid w:val="322841C1"/>
    <w:rsid w:val="32440FE0"/>
    <w:rsid w:val="326F125E"/>
    <w:rsid w:val="32752BB7"/>
    <w:rsid w:val="327F0285"/>
    <w:rsid w:val="32AB107A"/>
    <w:rsid w:val="32C15905"/>
    <w:rsid w:val="32C37B36"/>
    <w:rsid w:val="32FC17E7"/>
    <w:rsid w:val="33240E2C"/>
    <w:rsid w:val="333D5271"/>
    <w:rsid w:val="334007FB"/>
    <w:rsid w:val="335534AC"/>
    <w:rsid w:val="33764335"/>
    <w:rsid w:val="337E1556"/>
    <w:rsid w:val="338418CB"/>
    <w:rsid w:val="338549AE"/>
    <w:rsid w:val="33854D7F"/>
    <w:rsid w:val="338B34D9"/>
    <w:rsid w:val="33AF2763"/>
    <w:rsid w:val="33B14BF3"/>
    <w:rsid w:val="33D903B5"/>
    <w:rsid w:val="33EBF0D5"/>
    <w:rsid w:val="343603CC"/>
    <w:rsid w:val="347D1306"/>
    <w:rsid w:val="348F2F25"/>
    <w:rsid w:val="353335A8"/>
    <w:rsid w:val="3533663A"/>
    <w:rsid w:val="353B3AD7"/>
    <w:rsid w:val="35564A6A"/>
    <w:rsid w:val="35B16A60"/>
    <w:rsid w:val="35D02767"/>
    <w:rsid w:val="35EB67D0"/>
    <w:rsid w:val="36226989"/>
    <w:rsid w:val="364A0259"/>
    <w:rsid w:val="367E2601"/>
    <w:rsid w:val="367F30C5"/>
    <w:rsid w:val="36832FFC"/>
    <w:rsid w:val="36837F88"/>
    <w:rsid w:val="36DC74B6"/>
    <w:rsid w:val="37103936"/>
    <w:rsid w:val="3718265D"/>
    <w:rsid w:val="37184804"/>
    <w:rsid w:val="37193956"/>
    <w:rsid w:val="371A5222"/>
    <w:rsid w:val="37335AE2"/>
    <w:rsid w:val="37405D23"/>
    <w:rsid w:val="37411FAD"/>
    <w:rsid w:val="376F3526"/>
    <w:rsid w:val="37B54749"/>
    <w:rsid w:val="37BEFB15"/>
    <w:rsid w:val="37D71BD1"/>
    <w:rsid w:val="37DA36E1"/>
    <w:rsid w:val="382E071F"/>
    <w:rsid w:val="38312FB4"/>
    <w:rsid w:val="384937B2"/>
    <w:rsid w:val="387C63D7"/>
    <w:rsid w:val="38A547BD"/>
    <w:rsid w:val="38E5105E"/>
    <w:rsid w:val="39010303"/>
    <w:rsid w:val="393A417B"/>
    <w:rsid w:val="3945284A"/>
    <w:rsid w:val="39457DA1"/>
    <w:rsid w:val="395B6F86"/>
    <w:rsid w:val="396B0A9C"/>
    <w:rsid w:val="3972790E"/>
    <w:rsid w:val="39A87574"/>
    <w:rsid w:val="39AA367B"/>
    <w:rsid w:val="39BF14FE"/>
    <w:rsid w:val="39CE1AF2"/>
    <w:rsid w:val="39DF785B"/>
    <w:rsid w:val="3A371445"/>
    <w:rsid w:val="3A394029"/>
    <w:rsid w:val="3A655743"/>
    <w:rsid w:val="3A69E9F6"/>
    <w:rsid w:val="3A8E50C7"/>
    <w:rsid w:val="3B443483"/>
    <w:rsid w:val="3B9B1090"/>
    <w:rsid w:val="3BA71614"/>
    <w:rsid w:val="3BBA1A04"/>
    <w:rsid w:val="3BE455FD"/>
    <w:rsid w:val="3BED123F"/>
    <w:rsid w:val="3C44609B"/>
    <w:rsid w:val="3C574ACE"/>
    <w:rsid w:val="3C5E4C56"/>
    <w:rsid w:val="3CA74E4B"/>
    <w:rsid w:val="3CBB51FA"/>
    <w:rsid w:val="3CC94695"/>
    <w:rsid w:val="3CE26CE4"/>
    <w:rsid w:val="3D1D0DC6"/>
    <w:rsid w:val="3D4669C5"/>
    <w:rsid w:val="3D485717"/>
    <w:rsid w:val="3DAA0B3F"/>
    <w:rsid w:val="3DBF2F1A"/>
    <w:rsid w:val="3DFDD4B3"/>
    <w:rsid w:val="3E292AC9"/>
    <w:rsid w:val="3E4039E1"/>
    <w:rsid w:val="3E48746D"/>
    <w:rsid w:val="3E4F1555"/>
    <w:rsid w:val="3E561DC7"/>
    <w:rsid w:val="3E7F6C02"/>
    <w:rsid w:val="3E934FC8"/>
    <w:rsid w:val="3EA51C99"/>
    <w:rsid w:val="3EA86982"/>
    <w:rsid w:val="3EE16B73"/>
    <w:rsid w:val="3EF304A5"/>
    <w:rsid w:val="3F1E4E90"/>
    <w:rsid w:val="3F6F5E4E"/>
    <w:rsid w:val="3F702BBE"/>
    <w:rsid w:val="3F8752D5"/>
    <w:rsid w:val="3F8C5169"/>
    <w:rsid w:val="3F9C22EC"/>
    <w:rsid w:val="3FC26A84"/>
    <w:rsid w:val="3FC30C10"/>
    <w:rsid w:val="3FF70B95"/>
    <w:rsid w:val="3FFEAFCE"/>
    <w:rsid w:val="404611B4"/>
    <w:rsid w:val="405934CF"/>
    <w:rsid w:val="4066144B"/>
    <w:rsid w:val="40704578"/>
    <w:rsid w:val="40773B7E"/>
    <w:rsid w:val="4099592E"/>
    <w:rsid w:val="40B9636E"/>
    <w:rsid w:val="40C510CF"/>
    <w:rsid w:val="40E767D3"/>
    <w:rsid w:val="40F43DA1"/>
    <w:rsid w:val="41055600"/>
    <w:rsid w:val="41155A0E"/>
    <w:rsid w:val="415D5C35"/>
    <w:rsid w:val="417817ED"/>
    <w:rsid w:val="41782A6F"/>
    <w:rsid w:val="41AF3FB7"/>
    <w:rsid w:val="41B15F1E"/>
    <w:rsid w:val="41BE6160"/>
    <w:rsid w:val="41CA7043"/>
    <w:rsid w:val="42002A4F"/>
    <w:rsid w:val="4211569E"/>
    <w:rsid w:val="42767338"/>
    <w:rsid w:val="429401D9"/>
    <w:rsid w:val="42DB051D"/>
    <w:rsid w:val="433C7E44"/>
    <w:rsid w:val="434D53D1"/>
    <w:rsid w:val="4359511F"/>
    <w:rsid w:val="437512C8"/>
    <w:rsid w:val="43B70A87"/>
    <w:rsid w:val="43B753A5"/>
    <w:rsid w:val="43CA3003"/>
    <w:rsid w:val="43DE0D2F"/>
    <w:rsid w:val="43DF474F"/>
    <w:rsid w:val="44C03E03"/>
    <w:rsid w:val="44D621CD"/>
    <w:rsid w:val="44FF0DB1"/>
    <w:rsid w:val="45244CBC"/>
    <w:rsid w:val="45813EBC"/>
    <w:rsid w:val="459F2DA7"/>
    <w:rsid w:val="45E00B98"/>
    <w:rsid w:val="460213CC"/>
    <w:rsid w:val="46160AA8"/>
    <w:rsid w:val="46563D5B"/>
    <w:rsid w:val="468B4FF2"/>
    <w:rsid w:val="46963997"/>
    <w:rsid w:val="46A60AFA"/>
    <w:rsid w:val="46FD6304"/>
    <w:rsid w:val="47082A77"/>
    <w:rsid w:val="471274C2"/>
    <w:rsid w:val="4724568F"/>
    <w:rsid w:val="476C019A"/>
    <w:rsid w:val="477737C9"/>
    <w:rsid w:val="47956439"/>
    <w:rsid w:val="47EE3813"/>
    <w:rsid w:val="47F6064A"/>
    <w:rsid w:val="480367DD"/>
    <w:rsid w:val="48254FD3"/>
    <w:rsid w:val="485057CD"/>
    <w:rsid w:val="48A35A14"/>
    <w:rsid w:val="48A70C6A"/>
    <w:rsid w:val="4922216E"/>
    <w:rsid w:val="4928201E"/>
    <w:rsid w:val="493A41BD"/>
    <w:rsid w:val="49693D6A"/>
    <w:rsid w:val="496C5B15"/>
    <w:rsid w:val="497F9529"/>
    <w:rsid w:val="49AD71C5"/>
    <w:rsid w:val="49B506D8"/>
    <w:rsid w:val="49CF51F6"/>
    <w:rsid w:val="49D428DE"/>
    <w:rsid w:val="4A05562D"/>
    <w:rsid w:val="4A0964BF"/>
    <w:rsid w:val="4A6022F2"/>
    <w:rsid w:val="4A6670B3"/>
    <w:rsid w:val="4A74151F"/>
    <w:rsid w:val="4A7E7D2A"/>
    <w:rsid w:val="4AB26EBC"/>
    <w:rsid w:val="4AB65788"/>
    <w:rsid w:val="4B06733D"/>
    <w:rsid w:val="4B0B37CB"/>
    <w:rsid w:val="4B157C30"/>
    <w:rsid w:val="4B1D01E3"/>
    <w:rsid w:val="4B2E4FD6"/>
    <w:rsid w:val="4B3D3706"/>
    <w:rsid w:val="4B3F5729"/>
    <w:rsid w:val="4B630930"/>
    <w:rsid w:val="4B6834EC"/>
    <w:rsid w:val="4B9C25B4"/>
    <w:rsid w:val="4BF2578A"/>
    <w:rsid w:val="4C08421B"/>
    <w:rsid w:val="4C16550A"/>
    <w:rsid w:val="4C2A56B2"/>
    <w:rsid w:val="4C2F5C8C"/>
    <w:rsid w:val="4C4874E2"/>
    <w:rsid w:val="4C4E6F5C"/>
    <w:rsid w:val="4C540290"/>
    <w:rsid w:val="4C607846"/>
    <w:rsid w:val="4CB66996"/>
    <w:rsid w:val="4CC101CD"/>
    <w:rsid w:val="4CF75580"/>
    <w:rsid w:val="4D4F27EF"/>
    <w:rsid w:val="4DA3773E"/>
    <w:rsid w:val="4DB24788"/>
    <w:rsid w:val="4DE669FA"/>
    <w:rsid w:val="4DF1C01A"/>
    <w:rsid w:val="4DFF578B"/>
    <w:rsid w:val="4E376235"/>
    <w:rsid w:val="4E37780E"/>
    <w:rsid w:val="4E3A242B"/>
    <w:rsid w:val="4E3B5550"/>
    <w:rsid w:val="4E593C28"/>
    <w:rsid w:val="4E634DE0"/>
    <w:rsid w:val="4EB11255"/>
    <w:rsid w:val="4EB52EAD"/>
    <w:rsid w:val="4EE871CB"/>
    <w:rsid w:val="4F0B7EB2"/>
    <w:rsid w:val="4F1671A0"/>
    <w:rsid w:val="4F2019D3"/>
    <w:rsid w:val="4F381A8F"/>
    <w:rsid w:val="4F3B332E"/>
    <w:rsid w:val="4F905428"/>
    <w:rsid w:val="4FA01DB0"/>
    <w:rsid w:val="4FF10A66"/>
    <w:rsid w:val="4FFC3AC8"/>
    <w:rsid w:val="5000092C"/>
    <w:rsid w:val="50374BAE"/>
    <w:rsid w:val="5059509E"/>
    <w:rsid w:val="50B11AF9"/>
    <w:rsid w:val="50F4488D"/>
    <w:rsid w:val="50F51F60"/>
    <w:rsid w:val="50F92AB6"/>
    <w:rsid w:val="51015159"/>
    <w:rsid w:val="51204589"/>
    <w:rsid w:val="513C6315"/>
    <w:rsid w:val="515A6D09"/>
    <w:rsid w:val="51A03FDE"/>
    <w:rsid w:val="51BD002A"/>
    <w:rsid w:val="51CB5940"/>
    <w:rsid w:val="51E258F1"/>
    <w:rsid w:val="51E965C3"/>
    <w:rsid w:val="5201085F"/>
    <w:rsid w:val="5223292F"/>
    <w:rsid w:val="52650DED"/>
    <w:rsid w:val="52854FEC"/>
    <w:rsid w:val="52CB2FBE"/>
    <w:rsid w:val="52E592BD"/>
    <w:rsid w:val="53074F08"/>
    <w:rsid w:val="53230677"/>
    <w:rsid w:val="53265AB3"/>
    <w:rsid w:val="534A3B3F"/>
    <w:rsid w:val="535B2AE3"/>
    <w:rsid w:val="53A218D6"/>
    <w:rsid w:val="53D457EE"/>
    <w:rsid w:val="53F6513C"/>
    <w:rsid w:val="54016E61"/>
    <w:rsid w:val="540A5398"/>
    <w:rsid w:val="541512C7"/>
    <w:rsid w:val="542675A8"/>
    <w:rsid w:val="544508EC"/>
    <w:rsid w:val="54660E4D"/>
    <w:rsid w:val="5471697D"/>
    <w:rsid w:val="5479799A"/>
    <w:rsid w:val="54AF45A2"/>
    <w:rsid w:val="54D112B5"/>
    <w:rsid w:val="54F77CF7"/>
    <w:rsid w:val="54FD0482"/>
    <w:rsid w:val="55326F81"/>
    <w:rsid w:val="55377450"/>
    <w:rsid w:val="5538504E"/>
    <w:rsid w:val="554D3E65"/>
    <w:rsid w:val="557B2E4B"/>
    <w:rsid w:val="558A46C7"/>
    <w:rsid w:val="5593286C"/>
    <w:rsid w:val="55A25DBA"/>
    <w:rsid w:val="55B315E8"/>
    <w:rsid w:val="55F011B7"/>
    <w:rsid w:val="55F3226C"/>
    <w:rsid w:val="56002B1B"/>
    <w:rsid w:val="56076DD8"/>
    <w:rsid w:val="5619144C"/>
    <w:rsid w:val="561B4143"/>
    <w:rsid w:val="563308DD"/>
    <w:rsid w:val="564C72A2"/>
    <w:rsid w:val="567B4B42"/>
    <w:rsid w:val="56DE5B99"/>
    <w:rsid w:val="56E07F4D"/>
    <w:rsid w:val="56E821F6"/>
    <w:rsid w:val="56F3629C"/>
    <w:rsid w:val="56FC109E"/>
    <w:rsid w:val="56FC4564"/>
    <w:rsid w:val="5728331D"/>
    <w:rsid w:val="572A741E"/>
    <w:rsid w:val="572B7458"/>
    <w:rsid w:val="57790E97"/>
    <w:rsid w:val="57EB6386"/>
    <w:rsid w:val="580D1B0F"/>
    <w:rsid w:val="5813665C"/>
    <w:rsid w:val="58187F7E"/>
    <w:rsid w:val="582B0A22"/>
    <w:rsid w:val="583863E3"/>
    <w:rsid w:val="5844353E"/>
    <w:rsid w:val="58823CD0"/>
    <w:rsid w:val="58852E3A"/>
    <w:rsid w:val="588819E6"/>
    <w:rsid w:val="58AB4B4C"/>
    <w:rsid w:val="59070579"/>
    <w:rsid w:val="593E2B6E"/>
    <w:rsid w:val="59407EBE"/>
    <w:rsid w:val="594E7731"/>
    <w:rsid w:val="596D09B1"/>
    <w:rsid w:val="598452D7"/>
    <w:rsid w:val="59E20049"/>
    <w:rsid w:val="5A694187"/>
    <w:rsid w:val="5A7177D3"/>
    <w:rsid w:val="5A803D2D"/>
    <w:rsid w:val="5AA84CAB"/>
    <w:rsid w:val="5ABE0900"/>
    <w:rsid w:val="5AC833C4"/>
    <w:rsid w:val="5AE575AD"/>
    <w:rsid w:val="5AE647F3"/>
    <w:rsid w:val="5B49175B"/>
    <w:rsid w:val="5B4B0622"/>
    <w:rsid w:val="5B642FD4"/>
    <w:rsid w:val="5B655CB7"/>
    <w:rsid w:val="5B6B0AF7"/>
    <w:rsid w:val="5B87286E"/>
    <w:rsid w:val="5B8E1B37"/>
    <w:rsid w:val="5BA75298"/>
    <w:rsid w:val="5BAC0229"/>
    <w:rsid w:val="5BBDA632"/>
    <w:rsid w:val="5BCD047F"/>
    <w:rsid w:val="5BDC7B58"/>
    <w:rsid w:val="5BF1AF2F"/>
    <w:rsid w:val="5BF36DE1"/>
    <w:rsid w:val="5C2260AB"/>
    <w:rsid w:val="5C485468"/>
    <w:rsid w:val="5C8C6E1C"/>
    <w:rsid w:val="5CCD4F8F"/>
    <w:rsid w:val="5CEB4C0A"/>
    <w:rsid w:val="5CF27722"/>
    <w:rsid w:val="5D053ECD"/>
    <w:rsid w:val="5D255365"/>
    <w:rsid w:val="5D7ECC0F"/>
    <w:rsid w:val="5D8C35EC"/>
    <w:rsid w:val="5D910046"/>
    <w:rsid w:val="5DCE2F0E"/>
    <w:rsid w:val="5DDD41A8"/>
    <w:rsid w:val="5DFC5B7A"/>
    <w:rsid w:val="5E0A4000"/>
    <w:rsid w:val="5E15400B"/>
    <w:rsid w:val="5E1B6804"/>
    <w:rsid w:val="5E345B18"/>
    <w:rsid w:val="5E7415F9"/>
    <w:rsid w:val="5E89747D"/>
    <w:rsid w:val="5E8F7F00"/>
    <w:rsid w:val="5E90683D"/>
    <w:rsid w:val="5E9B69F3"/>
    <w:rsid w:val="5EC357F6"/>
    <w:rsid w:val="5EC7698C"/>
    <w:rsid w:val="5ECB647C"/>
    <w:rsid w:val="5EDB74B5"/>
    <w:rsid w:val="5EF8B8F3"/>
    <w:rsid w:val="5EFE3014"/>
    <w:rsid w:val="5F0D4623"/>
    <w:rsid w:val="5F325F7B"/>
    <w:rsid w:val="5F327135"/>
    <w:rsid w:val="5F3F5E9F"/>
    <w:rsid w:val="5F593B44"/>
    <w:rsid w:val="5F660B5D"/>
    <w:rsid w:val="5F8F0873"/>
    <w:rsid w:val="5F9A7BFD"/>
    <w:rsid w:val="5FC36AE3"/>
    <w:rsid w:val="5FD31E78"/>
    <w:rsid w:val="5FED41D0"/>
    <w:rsid w:val="5FF800AF"/>
    <w:rsid w:val="5FFE8F36"/>
    <w:rsid w:val="606306D7"/>
    <w:rsid w:val="606F3B6D"/>
    <w:rsid w:val="60794396"/>
    <w:rsid w:val="608233EE"/>
    <w:rsid w:val="608A7AB6"/>
    <w:rsid w:val="60A76D83"/>
    <w:rsid w:val="60C74A21"/>
    <w:rsid w:val="60D45D9B"/>
    <w:rsid w:val="60FC14CB"/>
    <w:rsid w:val="61171EEB"/>
    <w:rsid w:val="61430950"/>
    <w:rsid w:val="61472727"/>
    <w:rsid w:val="61472EAE"/>
    <w:rsid w:val="625A73BB"/>
    <w:rsid w:val="626A2338"/>
    <w:rsid w:val="627D5CDF"/>
    <w:rsid w:val="62BB1F75"/>
    <w:rsid w:val="62FF5390"/>
    <w:rsid w:val="634703C3"/>
    <w:rsid w:val="6353259C"/>
    <w:rsid w:val="635B4D7D"/>
    <w:rsid w:val="636D4E46"/>
    <w:rsid w:val="63C617F3"/>
    <w:rsid w:val="63D86F45"/>
    <w:rsid w:val="63F573CB"/>
    <w:rsid w:val="640339F6"/>
    <w:rsid w:val="6435110A"/>
    <w:rsid w:val="645D4678"/>
    <w:rsid w:val="646C2AA2"/>
    <w:rsid w:val="646E5B16"/>
    <w:rsid w:val="647E0283"/>
    <w:rsid w:val="6493730F"/>
    <w:rsid w:val="64942E6C"/>
    <w:rsid w:val="64DD5C7F"/>
    <w:rsid w:val="64F110BD"/>
    <w:rsid w:val="64F55A2C"/>
    <w:rsid w:val="651421FF"/>
    <w:rsid w:val="653714B8"/>
    <w:rsid w:val="65692627"/>
    <w:rsid w:val="65991C52"/>
    <w:rsid w:val="65B71508"/>
    <w:rsid w:val="65C44329"/>
    <w:rsid w:val="65E21ABD"/>
    <w:rsid w:val="65F91B21"/>
    <w:rsid w:val="660A7FB5"/>
    <w:rsid w:val="66254723"/>
    <w:rsid w:val="66650F64"/>
    <w:rsid w:val="668AB1B7"/>
    <w:rsid w:val="669D295A"/>
    <w:rsid w:val="66BE12AB"/>
    <w:rsid w:val="66C51059"/>
    <w:rsid w:val="66D55EF8"/>
    <w:rsid w:val="66F12E96"/>
    <w:rsid w:val="670C5C89"/>
    <w:rsid w:val="67400843"/>
    <w:rsid w:val="67512BAA"/>
    <w:rsid w:val="677B47B7"/>
    <w:rsid w:val="6793565D"/>
    <w:rsid w:val="6795521A"/>
    <w:rsid w:val="67971D7C"/>
    <w:rsid w:val="67A07D7A"/>
    <w:rsid w:val="67A44481"/>
    <w:rsid w:val="67BC2D52"/>
    <w:rsid w:val="67C27CF0"/>
    <w:rsid w:val="67EF0AB2"/>
    <w:rsid w:val="68363C50"/>
    <w:rsid w:val="684D67CF"/>
    <w:rsid w:val="68752887"/>
    <w:rsid w:val="688E025A"/>
    <w:rsid w:val="68900536"/>
    <w:rsid w:val="689437C8"/>
    <w:rsid w:val="689D42A2"/>
    <w:rsid w:val="68A8252E"/>
    <w:rsid w:val="68AF140A"/>
    <w:rsid w:val="68AF1602"/>
    <w:rsid w:val="68B43AD8"/>
    <w:rsid w:val="68E048D2"/>
    <w:rsid w:val="690337BF"/>
    <w:rsid w:val="691552B2"/>
    <w:rsid w:val="692F7BB3"/>
    <w:rsid w:val="69541875"/>
    <w:rsid w:val="69652C31"/>
    <w:rsid w:val="696B2299"/>
    <w:rsid w:val="69840C2A"/>
    <w:rsid w:val="69E77C48"/>
    <w:rsid w:val="69F24F19"/>
    <w:rsid w:val="6A0C4C44"/>
    <w:rsid w:val="6A201819"/>
    <w:rsid w:val="6A5B4708"/>
    <w:rsid w:val="6A97634E"/>
    <w:rsid w:val="6AB574AA"/>
    <w:rsid w:val="6AFC14A6"/>
    <w:rsid w:val="6AFF2164"/>
    <w:rsid w:val="6B305F69"/>
    <w:rsid w:val="6B3F4D89"/>
    <w:rsid w:val="6B61512D"/>
    <w:rsid w:val="6B6C20DC"/>
    <w:rsid w:val="6B890D5A"/>
    <w:rsid w:val="6BA92E6D"/>
    <w:rsid w:val="6BAC21C7"/>
    <w:rsid w:val="6BAE62FA"/>
    <w:rsid w:val="6BC55C2A"/>
    <w:rsid w:val="6BDF612F"/>
    <w:rsid w:val="6C010E05"/>
    <w:rsid w:val="6C1958B7"/>
    <w:rsid w:val="6C2703D2"/>
    <w:rsid w:val="6C30132D"/>
    <w:rsid w:val="6C487C6E"/>
    <w:rsid w:val="6C535DD2"/>
    <w:rsid w:val="6C6A6C61"/>
    <w:rsid w:val="6CB42573"/>
    <w:rsid w:val="6CB904E6"/>
    <w:rsid w:val="6CD9011C"/>
    <w:rsid w:val="6CE72E7C"/>
    <w:rsid w:val="6CEF38E5"/>
    <w:rsid w:val="6CF706DB"/>
    <w:rsid w:val="6D1503C2"/>
    <w:rsid w:val="6D3A657B"/>
    <w:rsid w:val="6D3C0FAE"/>
    <w:rsid w:val="6D55133C"/>
    <w:rsid w:val="6D5E5FA9"/>
    <w:rsid w:val="6D8331C7"/>
    <w:rsid w:val="6D923CE5"/>
    <w:rsid w:val="6DAD0EE1"/>
    <w:rsid w:val="6DAF4C2A"/>
    <w:rsid w:val="6DC370BC"/>
    <w:rsid w:val="6DC51D44"/>
    <w:rsid w:val="6DC624CB"/>
    <w:rsid w:val="6DD03B65"/>
    <w:rsid w:val="6DD45816"/>
    <w:rsid w:val="6DF31230"/>
    <w:rsid w:val="6E125713"/>
    <w:rsid w:val="6E1606EB"/>
    <w:rsid w:val="6E5042A8"/>
    <w:rsid w:val="6E6265D1"/>
    <w:rsid w:val="6E6958AA"/>
    <w:rsid w:val="6E786CC5"/>
    <w:rsid w:val="6EAE36E3"/>
    <w:rsid w:val="6EB10C80"/>
    <w:rsid w:val="6EDC3D8E"/>
    <w:rsid w:val="6EF974E1"/>
    <w:rsid w:val="6F186EEB"/>
    <w:rsid w:val="6F1A0BD2"/>
    <w:rsid w:val="6F2933BD"/>
    <w:rsid w:val="6F3F504C"/>
    <w:rsid w:val="6F487939"/>
    <w:rsid w:val="6F500BE8"/>
    <w:rsid w:val="6F5A2F04"/>
    <w:rsid w:val="6F671A5E"/>
    <w:rsid w:val="6F6DBBDC"/>
    <w:rsid w:val="6F7337DA"/>
    <w:rsid w:val="6F8A0D51"/>
    <w:rsid w:val="6FA677C1"/>
    <w:rsid w:val="6FCE3E86"/>
    <w:rsid w:val="6FE5137E"/>
    <w:rsid w:val="6FEE216B"/>
    <w:rsid w:val="6FFF5CBA"/>
    <w:rsid w:val="700B5438"/>
    <w:rsid w:val="70405CA9"/>
    <w:rsid w:val="704B62FB"/>
    <w:rsid w:val="708B3197"/>
    <w:rsid w:val="70A71636"/>
    <w:rsid w:val="70AF70C1"/>
    <w:rsid w:val="70D95A33"/>
    <w:rsid w:val="70E84C6C"/>
    <w:rsid w:val="710D09C2"/>
    <w:rsid w:val="713F6856"/>
    <w:rsid w:val="714B4EEA"/>
    <w:rsid w:val="716170C9"/>
    <w:rsid w:val="716B13F9"/>
    <w:rsid w:val="71763BD4"/>
    <w:rsid w:val="71933157"/>
    <w:rsid w:val="71B40FF2"/>
    <w:rsid w:val="71BB2380"/>
    <w:rsid w:val="71D90720"/>
    <w:rsid w:val="72072163"/>
    <w:rsid w:val="72227D09"/>
    <w:rsid w:val="722F3AB1"/>
    <w:rsid w:val="72580686"/>
    <w:rsid w:val="725A1182"/>
    <w:rsid w:val="72662FF9"/>
    <w:rsid w:val="729D55E2"/>
    <w:rsid w:val="72AB5F51"/>
    <w:rsid w:val="72AD0C7C"/>
    <w:rsid w:val="731247C7"/>
    <w:rsid w:val="73322F2A"/>
    <w:rsid w:val="733B7AF8"/>
    <w:rsid w:val="733D0B73"/>
    <w:rsid w:val="73491360"/>
    <w:rsid w:val="735C1153"/>
    <w:rsid w:val="737F7848"/>
    <w:rsid w:val="738629AD"/>
    <w:rsid w:val="73B74479"/>
    <w:rsid w:val="73B85496"/>
    <w:rsid w:val="73BE4993"/>
    <w:rsid w:val="73D9610C"/>
    <w:rsid w:val="73ED4347"/>
    <w:rsid w:val="73F13E8D"/>
    <w:rsid w:val="73FB4EDC"/>
    <w:rsid w:val="742A4B33"/>
    <w:rsid w:val="742C5BE3"/>
    <w:rsid w:val="743462F1"/>
    <w:rsid w:val="745D747D"/>
    <w:rsid w:val="74AE2F45"/>
    <w:rsid w:val="74EE21E4"/>
    <w:rsid w:val="74FE6916"/>
    <w:rsid w:val="750556C0"/>
    <w:rsid w:val="75066682"/>
    <w:rsid w:val="751966F5"/>
    <w:rsid w:val="755C79D6"/>
    <w:rsid w:val="75A6570B"/>
    <w:rsid w:val="75D94C4A"/>
    <w:rsid w:val="75E1692E"/>
    <w:rsid w:val="75FB1E11"/>
    <w:rsid w:val="76044872"/>
    <w:rsid w:val="76370D8C"/>
    <w:rsid w:val="76492C7C"/>
    <w:rsid w:val="767B404B"/>
    <w:rsid w:val="76935E17"/>
    <w:rsid w:val="76CF7ECD"/>
    <w:rsid w:val="76E23C12"/>
    <w:rsid w:val="76EF03D6"/>
    <w:rsid w:val="770D3B14"/>
    <w:rsid w:val="773E634E"/>
    <w:rsid w:val="7741750C"/>
    <w:rsid w:val="77583C2E"/>
    <w:rsid w:val="775E6ACC"/>
    <w:rsid w:val="776371ED"/>
    <w:rsid w:val="778C3E77"/>
    <w:rsid w:val="779318C4"/>
    <w:rsid w:val="77BD1FC0"/>
    <w:rsid w:val="77BF7B05"/>
    <w:rsid w:val="77E12415"/>
    <w:rsid w:val="77F81D11"/>
    <w:rsid w:val="77FC05BB"/>
    <w:rsid w:val="77FC3D17"/>
    <w:rsid w:val="77FF278F"/>
    <w:rsid w:val="78074D72"/>
    <w:rsid w:val="78107BDB"/>
    <w:rsid w:val="781956AF"/>
    <w:rsid w:val="782467B1"/>
    <w:rsid w:val="7828313B"/>
    <w:rsid w:val="78393FFF"/>
    <w:rsid w:val="78573556"/>
    <w:rsid w:val="78583F34"/>
    <w:rsid w:val="78A70078"/>
    <w:rsid w:val="78A85774"/>
    <w:rsid w:val="78CF226D"/>
    <w:rsid w:val="78E4677B"/>
    <w:rsid w:val="78EE7FCD"/>
    <w:rsid w:val="79482E68"/>
    <w:rsid w:val="797BAAB4"/>
    <w:rsid w:val="79A61BF6"/>
    <w:rsid w:val="79A86213"/>
    <w:rsid w:val="79C95E13"/>
    <w:rsid w:val="79CB6ED9"/>
    <w:rsid w:val="79CD0DC8"/>
    <w:rsid w:val="7A020420"/>
    <w:rsid w:val="7A0C3CB7"/>
    <w:rsid w:val="7A5C5D83"/>
    <w:rsid w:val="7A6D7A0B"/>
    <w:rsid w:val="7AA51085"/>
    <w:rsid w:val="7AF3655F"/>
    <w:rsid w:val="7AFB6968"/>
    <w:rsid w:val="7B292A0C"/>
    <w:rsid w:val="7B295D78"/>
    <w:rsid w:val="7B3A5988"/>
    <w:rsid w:val="7B3A781A"/>
    <w:rsid w:val="7B3C2327"/>
    <w:rsid w:val="7B4E432A"/>
    <w:rsid w:val="7BDD5582"/>
    <w:rsid w:val="7BE91168"/>
    <w:rsid w:val="7BFE6830"/>
    <w:rsid w:val="7BFF7A76"/>
    <w:rsid w:val="7C0E5F66"/>
    <w:rsid w:val="7C4116D4"/>
    <w:rsid w:val="7C74133B"/>
    <w:rsid w:val="7CCA74FC"/>
    <w:rsid w:val="7CCAA3C7"/>
    <w:rsid w:val="7CD262A7"/>
    <w:rsid w:val="7CD3142B"/>
    <w:rsid w:val="7CD40F68"/>
    <w:rsid w:val="7CFB138F"/>
    <w:rsid w:val="7D273A1F"/>
    <w:rsid w:val="7D473B0C"/>
    <w:rsid w:val="7D6FD3DF"/>
    <w:rsid w:val="7D733B0F"/>
    <w:rsid w:val="7D844E18"/>
    <w:rsid w:val="7DBA7990"/>
    <w:rsid w:val="7DF13801"/>
    <w:rsid w:val="7DFC206D"/>
    <w:rsid w:val="7E024C0B"/>
    <w:rsid w:val="7E0F0411"/>
    <w:rsid w:val="7E1971A8"/>
    <w:rsid w:val="7E337A07"/>
    <w:rsid w:val="7E3C6266"/>
    <w:rsid w:val="7E3C7AF9"/>
    <w:rsid w:val="7E696752"/>
    <w:rsid w:val="7E796D86"/>
    <w:rsid w:val="7EB937A4"/>
    <w:rsid w:val="7EDE2946"/>
    <w:rsid w:val="7EDF5542"/>
    <w:rsid w:val="7EEF7208"/>
    <w:rsid w:val="7EF61E75"/>
    <w:rsid w:val="7EF95360"/>
    <w:rsid w:val="7F1B07AD"/>
    <w:rsid w:val="7F3D0FB4"/>
    <w:rsid w:val="7F521642"/>
    <w:rsid w:val="7F6E36F9"/>
    <w:rsid w:val="7F7FD28B"/>
    <w:rsid w:val="7F7FEF38"/>
    <w:rsid w:val="7F894BAE"/>
    <w:rsid w:val="7F8D2652"/>
    <w:rsid w:val="7FAC421E"/>
    <w:rsid w:val="7FBEA582"/>
    <w:rsid w:val="7FCB7F71"/>
    <w:rsid w:val="7FDB7A66"/>
    <w:rsid w:val="7FE3A0F9"/>
    <w:rsid w:val="7FEB7E80"/>
    <w:rsid w:val="7FFB1A9B"/>
    <w:rsid w:val="837A76C5"/>
    <w:rsid w:val="83D7E72B"/>
    <w:rsid w:val="8BFF210F"/>
    <w:rsid w:val="9FFB5CBC"/>
    <w:rsid w:val="A0BF9D1A"/>
    <w:rsid w:val="AEF8A666"/>
    <w:rsid w:val="AF7FBABC"/>
    <w:rsid w:val="AFBE536B"/>
    <w:rsid w:val="AFDCC8F7"/>
    <w:rsid w:val="B7BD2BBD"/>
    <w:rsid w:val="BA7B23C6"/>
    <w:rsid w:val="BB6F6E5D"/>
    <w:rsid w:val="BDA48AAA"/>
    <w:rsid w:val="BE767935"/>
    <w:rsid w:val="BFEC07B1"/>
    <w:rsid w:val="BFFF8F62"/>
    <w:rsid w:val="C7E5D2C2"/>
    <w:rsid w:val="CCA13CB8"/>
    <w:rsid w:val="CF3D8DB2"/>
    <w:rsid w:val="CF677BE9"/>
    <w:rsid w:val="CF7FBC4A"/>
    <w:rsid w:val="CFD3F4B6"/>
    <w:rsid w:val="D37CEA4E"/>
    <w:rsid w:val="D3B735AB"/>
    <w:rsid w:val="D3DDE258"/>
    <w:rsid w:val="DA581125"/>
    <w:rsid w:val="DD27AA84"/>
    <w:rsid w:val="DFBFDCF8"/>
    <w:rsid w:val="DFF7FA4F"/>
    <w:rsid w:val="E6EF2A8B"/>
    <w:rsid w:val="E7FDF792"/>
    <w:rsid w:val="EBF5948D"/>
    <w:rsid w:val="ECBFD4E4"/>
    <w:rsid w:val="EFBF8F2F"/>
    <w:rsid w:val="F37F7196"/>
    <w:rsid w:val="F5FEF682"/>
    <w:rsid w:val="F8DD31D1"/>
    <w:rsid w:val="F9EE0563"/>
    <w:rsid w:val="FADF8F31"/>
    <w:rsid w:val="FAF6DF5F"/>
    <w:rsid w:val="FAFF26EC"/>
    <w:rsid w:val="FB27B8D4"/>
    <w:rsid w:val="FB3FD3EE"/>
    <w:rsid w:val="FBDF26F7"/>
    <w:rsid w:val="FE5D6815"/>
    <w:rsid w:val="FE734873"/>
    <w:rsid w:val="FE77923F"/>
    <w:rsid w:val="FEBD58D7"/>
    <w:rsid w:val="FFB7BD4C"/>
    <w:rsid w:val="FFBCF940"/>
    <w:rsid w:val="FFEFA670"/>
    <w:rsid w:val="FFF70264"/>
    <w:rsid w:val="FFF7A0BC"/>
    <w:rsid w:val="FFFA52A5"/>
    <w:rsid w:val="FFFF9AE4"/>
    <w:rsid w:val="FFFFC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560" w:firstLineChars="200"/>
      <w:textAlignment w:val="baseline"/>
    </w:pPr>
    <w:rPr>
      <w:rFonts w:ascii="Times New Roman" w:hAnsi="Times New Roman" w:eastAsia="仿宋_GB2312" w:cs="Arial"/>
      <w:snapToGrid w:val="0"/>
      <w:color w:val="000000"/>
      <w:sz w:val="28"/>
      <w:szCs w:val="21"/>
      <w:lang w:val="en-US" w:eastAsia="zh-CN" w:bidi="ar-SA"/>
    </w:rPr>
  </w:style>
  <w:style w:type="paragraph" w:styleId="2">
    <w:name w:val="heading 1"/>
    <w:basedOn w:val="1"/>
    <w:next w:val="1"/>
    <w:qFormat/>
    <w:uiPriority w:val="0"/>
    <w:pPr>
      <w:keepNext/>
      <w:keepLines/>
      <w:spacing w:before="156"/>
      <w:ind w:firstLine="544"/>
      <w:outlineLvl w:val="0"/>
    </w:pPr>
    <w:rPr>
      <w:rFonts w:eastAsia="黑体"/>
      <w:kern w:val="44"/>
    </w:rPr>
  </w:style>
  <w:style w:type="paragraph" w:styleId="3">
    <w:name w:val="heading 2"/>
    <w:basedOn w:val="1"/>
    <w:next w:val="1"/>
    <w:unhideWhenUsed/>
    <w:qFormat/>
    <w:uiPriority w:val="9"/>
    <w:pPr>
      <w:keepNext/>
      <w:keepLines/>
      <w:spacing w:before="100"/>
      <w:ind w:firstLine="480"/>
      <w:outlineLvl w:val="1"/>
    </w:pPr>
    <w:rPr>
      <w:rFonts w:cstheme="majorBidi"/>
      <w:b/>
      <w:bCs/>
      <w:szCs w:val="32"/>
    </w:rPr>
  </w:style>
  <w:style w:type="paragraph" w:styleId="4">
    <w:name w:val="heading 3"/>
    <w:basedOn w:val="1"/>
    <w:next w:val="1"/>
    <w:unhideWhenUsed/>
    <w:qFormat/>
    <w:uiPriority w:val="9"/>
    <w:pPr>
      <w:keepNext/>
      <w:keepLines/>
      <w:spacing w:before="60"/>
      <w:ind w:firstLine="0" w:firstLineChars="0"/>
      <w:outlineLvl w:val="2"/>
    </w:pPr>
    <w:rPr>
      <w:b/>
      <w:bCs/>
      <w:szCs w:val="32"/>
    </w:rPr>
  </w:style>
  <w:style w:type="paragraph" w:styleId="5">
    <w:name w:val="heading 4"/>
    <w:basedOn w:val="1"/>
    <w:next w:val="1"/>
    <w:unhideWhenUsed/>
    <w:qFormat/>
    <w:uiPriority w:val="9"/>
    <w:pPr>
      <w:keepNext/>
      <w:keepLines/>
      <w:outlineLvl w:val="3"/>
    </w:pPr>
    <w:rPr>
      <w:rFonts w:cs="Times New Roman"/>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5"/>
    <w:qFormat/>
    <w:uiPriority w:val="0"/>
    <w:pPr>
      <w:ind w:firstLine="420"/>
    </w:pPr>
    <w:rPr>
      <w:sz w:val="24"/>
      <w:szCs w:val="20"/>
    </w:rPr>
  </w:style>
  <w:style w:type="paragraph" w:styleId="7">
    <w:name w:val="annotation text"/>
    <w:basedOn w:val="1"/>
    <w:link w:val="41"/>
    <w:qFormat/>
    <w:uiPriority w:val="0"/>
  </w:style>
  <w:style w:type="paragraph" w:styleId="8">
    <w:name w:val="Body Text"/>
    <w:basedOn w:val="1"/>
    <w:next w:val="9"/>
    <w:link w:val="39"/>
    <w:qFormat/>
    <w:uiPriority w:val="0"/>
    <w:pPr>
      <w:spacing w:after="120"/>
    </w:pPr>
  </w:style>
  <w:style w:type="paragraph" w:styleId="9">
    <w:name w:val="Body Text 2"/>
    <w:basedOn w:val="1"/>
    <w:qFormat/>
    <w:uiPriority w:val="99"/>
    <w:pPr>
      <w:ind w:firstLine="200"/>
    </w:pPr>
    <w:rPr>
      <w:rFonts w:eastAsia="楷体_GB2312"/>
      <w:sz w:val="32"/>
      <w:szCs w:val="32"/>
    </w:rPr>
  </w:style>
  <w:style w:type="paragraph" w:styleId="10">
    <w:name w:val="Block Text"/>
    <w:basedOn w:val="1"/>
    <w:qFormat/>
    <w:uiPriority w:val="0"/>
    <w:pPr>
      <w:spacing w:after="120"/>
      <w:ind w:left="1440" w:leftChars="700" w:right="1440" w:rightChars="700"/>
    </w:pPr>
  </w:style>
  <w:style w:type="paragraph" w:styleId="11">
    <w:name w:val="toc 3"/>
    <w:basedOn w:val="1"/>
    <w:next w:val="1"/>
    <w:qFormat/>
    <w:uiPriority w:val="0"/>
    <w:pPr>
      <w:ind w:left="840" w:leftChars="400"/>
    </w:pPr>
  </w:style>
  <w:style w:type="paragraph" w:styleId="12">
    <w:name w:val="Plain Text"/>
    <w:basedOn w:val="1"/>
    <w:next w:val="13"/>
    <w:unhideWhenUsed/>
    <w:qFormat/>
    <w:uiPriority w:val="0"/>
    <w:rPr>
      <w:rFonts w:hAnsi="Courier New"/>
    </w:rPr>
  </w:style>
  <w:style w:type="paragraph" w:styleId="13">
    <w:name w:val="toc 2"/>
    <w:basedOn w:val="1"/>
    <w:next w:val="1"/>
    <w:qFormat/>
    <w:uiPriority w:val="0"/>
    <w:pPr>
      <w:ind w:left="420" w:leftChars="200"/>
    </w:pPr>
  </w:style>
  <w:style w:type="paragraph" w:styleId="14">
    <w:name w:val="Balloon Text"/>
    <w:basedOn w:val="1"/>
    <w:link w:val="40"/>
    <w:qFormat/>
    <w:uiPriority w:val="0"/>
    <w:pPr>
      <w:spacing w:line="240" w:lineRule="auto"/>
    </w:pPr>
    <w:rPr>
      <w:sz w:val="18"/>
      <w:szCs w:val="1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7">
    <w:name w:val="toc 1"/>
    <w:basedOn w:val="1"/>
    <w:next w:val="1"/>
    <w:qFormat/>
    <w:uiPriority w:val="0"/>
  </w:style>
  <w:style w:type="paragraph" w:styleId="18">
    <w:name w:val="Body Text Indent 3"/>
    <w:basedOn w:val="1"/>
    <w:qFormat/>
    <w:uiPriority w:val="0"/>
    <w:pPr>
      <w:spacing w:after="120"/>
      <w:ind w:left="420" w:leftChars="200"/>
    </w:pPr>
    <w:rPr>
      <w:sz w:val="16"/>
      <w:szCs w:val="16"/>
    </w:rPr>
  </w:style>
  <w:style w:type="paragraph" w:styleId="19">
    <w:name w:val="index 9"/>
    <w:basedOn w:val="1"/>
    <w:next w:val="1"/>
    <w:qFormat/>
    <w:uiPriority w:val="0"/>
    <w:pPr>
      <w:spacing w:line="580" w:lineRule="exact"/>
      <w:ind w:left="5120" w:firstLine="800" w:firstLineChars="250"/>
    </w:pPr>
    <w:rPr>
      <w:sz w:val="32"/>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Times New Roman"/>
      <w:szCs w:val="24"/>
    </w:rPr>
  </w:style>
  <w:style w:type="paragraph" w:styleId="21">
    <w:name w:val="Normal (Web)"/>
    <w:basedOn w:val="1"/>
    <w:qFormat/>
    <w:uiPriority w:val="0"/>
    <w:pPr>
      <w:spacing w:beforeAutospacing="1" w:afterAutospacing="1"/>
    </w:pPr>
    <w:rPr>
      <w:rFonts w:cs="Times New Roman"/>
      <w:sz w:val="24"/>
    </w:rPr>
  </w:style>
  <w:style w:type="paragraph" w:styleId="22">
    <w:name w:val="annotation subject"/>
    <w:basedOn w:val="7"/>
    <w:next w:val="7"/>
    <w:link w:val="42"/>
    <w:qFormat/>
    <w:uiPriority w:val="0"/>
    <w:rPr>
      <w:b/>
      <w:bCs/>
    </w:rPr>
  </w:style>
  <w:style w:type="paragraph" w:styleId="23">
    <w:name w:val="Body Text First Indent"/>
    <w:basedOn w:val="8"/>
    <w:next w:val="24"/>
    <w:qFormat/>
    <w:uiPriority w:val="0"/>
    <w:pPr>
      <w:ind w:firstLine="420"/>
    </w:pPr>
    <w:rPr>
      <w:rFonts w:ascii="Calibri" w:hAnsi="Calibri" w:eastAsia="楷体_GB2312" w:cs="Times New Roman"/>
      <w:sz w:val="32"/>
      <w:szCs w:val="22"/>
    </w:rPr>
  </w:style>
  <w:style w:type="paragraph" w:styleId="24">
    <w:name w:val="Body Text First Indent 2"/>
    <w:basedOn w:val="1"/>
    <w:next w:val="1"/>
    <w:qFormat/>
    <w:uiPriority w:val="0"/>
    <w:pPr>
      <w:ind w:firstLine="42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qFormat/>
    <w:uiPriority w:val="0"/>
    <w:rPr>
      <w:color w:val="0000FF"/>
      <w:u w:val="single"/>
    </w:rPr>
  </w:style>
  <w:style w:type="character" w:styleId="30">
    <w:name w:val="annotation reference"/>
    <w:basedOn w:val="27"/>
    <w:qFormat/>
    <w:uiPriority w:val="0"/>
    <w:rPr>
      <w:sz w:val="21"/>
      <w:szCs w:val="21"/>
    </w:rPr>
  </w:style>
  <w:style w:type="paragraph" w:customStyle="1" w:styleId="31">
    <w:name w:val="样式 正文11 + 首行缩进:  2 字符"/>
    <w:basedOn w:val="1"/>
    <w:unhideWhenUsed/>
    <w:qFormat/>
    <w:uiPriority w:val="0"/>
    <w:pPr>
      <w:spacing w:line="500" w:lineRule="exact"/>
      <w:ind w:firstLine="560" w:firstLineChars="200"/>
    </w:pPr>
    <w:rPr>
      <w:rFonts w:hint="eastAsia" w:ascii="宋体" w:hAnsi="宋体"/>
      <w:color w:val="FF0000"/>
      <w:sz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3">
    <w:name w:val="列表段落1"/>
    <w:basedOn w:val="1"/>
    <w:qFormat/>
    <w:uiPriority w:val="34"/>
    <w:pPr>
      <w:ind w:firstLine="420"/>
    </w:pPr>
  </w:style>
  <w:style w:type="character" w:customStyle="1" w:styleId="34">
    <w:name w:val="font31"/>
    <w:basedOn w:val="27"/>
    <w:qFormat/>
    <w:uiPriority w:val="0"/>
    <w:rPr>
      <w:rFonts w:hint="eastAsia" w:ascii="宋体" w:hAnsi="宋体" w:eastAsia="宋体" w:cs="宋体"/>
      <w:color w:val="000000"/>
      <w:sz w:val="21"/>
      <w:szCs w:val="21"/>
      <w:u w:val="none"/>
    </w:rPr>
  </w:style>
  <w:style w:type="paragraph" w:customStyle="1" w:styleId="35">
    <w:name w:val="正文01"/>
    <w:basedOn w:val="1"/>
    <w:qFormat/>
    <w:uiPriority w:val="0"/>
    <w:pPr>
      <w:spacing w:before="60" w:line="460" w:lineRule="exact"/>
      <w:ind w:firstLine="200"/>
    </w:pPr>
    <w:rPr>
      <w:rFonts w:asciiTheme="minorHAnsi" w:hAnsiTheme="minorHAnsi" w:eastAsiaTheme="minorEastAsia" w:cstheme="minorBidi"/>
      <w:sz w:val="24"/>
      <w:szCs w:val="24"/>
    </w:rPr>
  </w:style>
  <w:style w:type="paragraph" w:customStyle="1" w:styleId="36">
    <w:name w:val="Body text|1"/>
    <w:basedOn w:val="1"/>
    <w:qFormat/>
    <w:uiPriority w:val="0"/>
    <w:pPr>
      <w:widowControl w:val="0"/>
      <w:spacing w:line="408" w:lineRule="auto"/>
      <w:ind w:firstLine="400"/>
    </w:pPr>
    <w:rPr>
      <w:rFonts w:ascii="宋体" w:hAnsi="宋体" w:eastAsia="宋体" w:cs="宋体"/>
      <w:lang w:val="zh-TW" w:eastAsia="zh-TW" w:bidi="zh-TW"/>
    </w:rPr>
  </w:style>
  <w:style w:type="paragraph" w:customStyle="1" w:styleId="37">
    <w:name w:val="表内文字"/>
    <w:basedOn w:val="38"/>
    <w:qFormat/>
    <w:uiPriority w:val="0"/>
    <w:pPr>
      <w:overflowPunct w:val="0"/>
      <w:jc w:val="center"/>
    </w:pPr>
    <w:rPr>
      <w:rFonts w:eastAsia="仿宋" w:cs="宋体"/>
      <w:bCs/>
    </w:rPr>
  </w:style>
  <w:style w:type="paragraph" w:customStyle="1" w:styleId="38">
    <w:name w:val="Table Paragraph"/>
    <w:basedOn w:val="1"/>
    <w:qFormat/>
    <w:uiPriority w:val="1"/>
    <w:rPr>
      <w:rFonts w:eastAsia="宋体"/>
      <w:sz w:val="24"/>
      <w:szCs w:val="24"/>
    </w:rPr>
  </w:style>
  <w:style w:type="character" w:customStyle="1" w:styleId="39">
    <w:name w:val="正文文本 字符"/>
    <w:basedOn w:val="27"/>
    <w:link w:val="8"/>
    <w:qFormat/>
    <w:uiPriority w:val="0"/>
    <w:rPr>
      <w:rFonts w:eastAsia="仿宋_GB2312" w:cs="Arial"/>
      <w:snapToGrid w:val="0"/>
      <w:color w:val="000000"/>
      <w:sz w:val="28"/>
      <w:szCs w:val="21"/>
    </w:rPr>
  </w:style>
  <w:style w:type="character" w:customStyle="1" w:styleId="40">
    <w:name w:val="批注框文本 字符"/>
    <w:basedOn w:val="27"/>
    <w:link w:val="14"/>
    <w:qFormat/>
    <w:uiPriority w:val="0"/>
    <w:rPr>
      <w:rFonts w:eastAsia="仿宋_GB2312" w:cs="Arial"/>
      <w:snapToGrid w:val="0"/>
      <w:color w:val="000000"/>
      <w:sz w:val="18"/>
      <w:szCs w:val="18"/>
    </w:rPr>
  </w:style>
  <w:style w:type="character" w:customStyle="1" w:styleId="41">
    <w:name w:val="批注文字 字符"/>
    <w:basedOn w:val="27"/>
    <w:link w:val="7"/>
    <w:qFormat/>
    <w:uiPriority w:val="0"/>
    <w:rPr>
      <w:rFonts w:eastAsia="仿宋_GB2312" w:cs="Arial"/>
      <w:snapToGrid w:val="0"/>
      <w:color w:val="000000"/>
      <w:sz w:val="28"/>
      <w:szCs w:val="21"/>
    </w:rPr>
  </w:style>
  <w:style w:type="character" w:customStyle="1" w:styleId="42">
    <w:name w:val="批注主题 字符"/>
    <w:basedOn w:val="41"/>
    <w:link w:val="22"/>
    <w:qFormat/>
    <w:uiPriority w:val="0"/>
    <w:rPr>
      <w:rFonts w:eastAsia="仿宋_GB2312" w:cs="Arial"/>
      <w:b/>
      <w:bCs/>
      <w:snapToGrid w:val="0"/>
      <w:color w:val="000000"/>
      <w:sz w:val="28"/>
      <w:szCs w:val="21"/>
    </w:rPr>
  </w:style>
  <w:style w:type="paragraph" w:customStyle="1" w:styleId="43">
    <w:name w:val="表头"/>
    <w:basedOn w:val="1"/>
    <w:qFormat/>
    <w:uiPriority w:val="0"/>
    <w:pPr>
      <w:overflowPunct w:val="0"/>
      <w:jc w:val="center"/>
    </w:pPr>
    <w:rPr>
      <w:b/>
      <w:sz w:val="24"/>
      <w:szCs w:val="28"/>
    </w:rPr>
  </w:style>
  <w:style w:type="paragraph" w:customStyle="1" w:styleId="44">
    <w:name w:val="修订1"/>
    <w:hidden/>
    <w:semiHidden/>
    <w:qFormat/>
    <w:uiPriority w:val="99"/>
    <w:rPr>
      <w:rFonts w:ascii="Times New Roman" w:hAnsi="Times New Roman" w:eastAsia="仿宋_GB2312" w:cs="Arial"/>
      <w:snapToGrid w:val="0"/>
      <w:color w:val="000000"/>
      <w:sz w:val="28"/>
      <w:szCs w:val="21"/>
      <w:lang w:val="en-US" w:eastAsia="zh-CN" w:bidi="ar-SA"/>
    </w:rPr>
  </w:style>
  <w:style w:type="paragraph" w:customStyle="1" w:styleId="45">
    <w:name w:val="Revision"/>
    <w:hidden/>
    <w:unhideWhenUsed/>
    <w:qFormat/>
    <w:uiPriority w:val="99"/>
    <w:rPr>
      <w:rFonts w:ascii="Times New Roman" w:hAnsi="Times New Roman" w:eastAsia="仿宋_GB2312" w:cs="Arial"/>
      <w:snapToGrid w:val="0"/>
      <w:color w:val="000000"/>
      <w:sz w:val="28"/>
      <w:szCs w:val="21"/>
      <w:lang w:val="en-US" w:eastAsia="zh-CN" w:bidi="ar-SA"/>
    </w:rPr>
  </w:style>
  <w:style w:type="character" w:customStyle="1" w:styleId="46">
    <w:name w:val="font11"/>
    <w:basedOn w:val="27"/>
    <w:qFormat/>
    <w:uiPriority w:val="0"/>
    <w:rPr>
      <w:rFonts w:ascii="Arial" w:hAnsi="Arial" w:cs="Arial"/>
      <w:color w:val="000000"/>
      <w:sz w:val="18"/>
      <w:szCs w:val="18"/>
      <w:u w:val="none"/>
    </w:rPr>
  </w:style>
  <w:style w:type="character" w:customStyle="1" w:styleId="47">
    <w:name w:val="font21"/>
    <w:basedOn w:val="27"/>
    <w:qFormat/>
    <w:uiPriority w:val="0"/>
    <w:rPr>
      <w:rFonts w:hint="default" w:ascii="Arial" w:hAnsi="Arial" w:cs="Arial"/>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10184</Words>
  <Characters>10350</Characters>
  <Lines>158</Lines>
  <Paragraphs>44</Paragraphs>
  <TotalTime>209</TotalTime>
  <ScaleCrop>false</ScaleCrop>
  <LinksUpToDate>false</LinksUpToDate>
  <CharactersWithSpaces>10429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2021-09-17T01:47:00Z</dcterms:created>
  <dc:creator>--</dc:creator>
  <cp:lastModifiedBy>名字不重要</cp:lastModifiedBy>
  <cp:lastPrinted>2023-12-05T01:38:00Z</cp:lastPrinted>
  <dcterms:modified xsi:type="dcterms:W3CDTF">2025-05-13T07:37:00Z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BFE012304E2D4EC78D84705F5D1C7923_13</vt:lpwstr>
  </property>
  <property fmtid="{D5CDD505-2E9C-101B-9397-08002B2CF9AE}" pid="4" name="KSOTemplateDocerSaveRecord">
    <vt:lpwstr>eyJoZGlkIjoiNzdjMzE4MGRjYzlmYzc1ZDA5NmEyZjM0NWU3ZTRmNTUiLCJ1c2VySWQiOiI2ODg0NzY1NzYifQ==</vt:lpwstr>
  </property>
</Properties>
</file>