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widowControl/>
        <w:spacing w:beforeAutospacing="0" w:afterAutospacing="0" w:line="560" w:lineRule="exact"/>
        <w:textAlignment w:val="baseline"/>
        <w:rPr>
          <w:rFonts w:hint="eastAsia" w:ascii="CESI黑体-GB13000" w:hAnsi="CESI黑体-GB13000" w:eastAsia="CESI黑体-GB13000" w:cs="CESI黑体-GB13000"/>
          <w:bCs/>
          <w:kern w:val="2"/>
          <w:sz w:val="32"/>
          <w:szCs w:val="36"/>
        </w:rPr>
      </w:pPr>
      <w:bookmarkStart w:id="0" w:name="_Hlk90225986"/>
      <w:r>
        <w:rPr>
          <w:rFonts w:hint="eastAsia" w:ascii="CESI黑体-GB13000" w:hAnsi="CESI黑体-GB13000" w:eastAsia="CESI黑体-GB13000" w:cs="CESI黑体-GB13000"/>
          <w:bCs/>
          <w:kern w:val="2"/>
          <w:sz w:val="32"/>
          <w:szCs w:val="36"/>
        </w:rPr>
        <w:t>附件2</w:t>
      </w:r>
    </w:p>
    <w:bookmarkEnd w:id="0"/>
    <w:p>
      <w:pPr>
        <w:jc w:val="both"/>
        <w:rPr>
          <w:rFonts w:ascii="方正小标宋简体" w:eastAsia="方正小标宋简体"/>
          <w:sz w:val="40"/>
          <w:szCs w:val="44"/>
        </w:rPr>
      </w:pPr>
    </w:p>
    <w:p>
      <w:pPr>
        <w:jc w:val="center"/>
        <w:rPr>
          <w:rFonts w:ascii="方正小标宋简体" w:eastAsia="方正小标宋简体"/>
          <w:sz w:val="40"/>
          <w:szCs w:val="44"/>
        </w:rPr>
      </w:pPr>
      <w:r>
        <w:rPr>
          <w:rFonts w:ascii="方正小标宋简体" w:eastAsia="方正小标宋简体"/>
          <w:sz w:val="40"/>
          <w:szCs w:val="44"/>
        </w:rPr>
        <w:t>《</w:t>
      </w:r>
      <w:r>
        <w:rPr>
          <w:rFonts w:hint="eastAsia" w:ascii="方正小标宋简体" w:eastAsia="方正小标宋简体"/>
          <w:sz w:val="40"/>
          <w:szCs w:val="44"/>
        </w:rPr>
        <w:t>北京经济技术开发区关于促进</w:t>
      </w:r>
      <w:r>
        <w:rPr>
          <w:rFonts w:ascii="方正小标宋简体" w:eastAsia="方正小标宋简体"/>
          <w:sz w:val="40"/>
          <w:szCs w:val="44"/>
        </w:rPr>
        <w:t>科文融合</w:t>
      </w:r>
      <w:r>
        <w:rPr>
          <w:rFonts w:hint="eastAsia" w:ascii="方正小标宋简体" w:eastAsia="方正小标宋简体"/>
          <w:sz w:val="40"/>
          <w:szCs w:val="44"/>
        </w:rPr>
        <w:t>产业高质量发展的若干措施</w:t>
      </w:r>
      <w:r>
        <w:rPr>
          <w:rFonts w:ascii="方正小标宋简体" w:eastAsia="方正小标宋简体"/>
          <w:sz w:val="40"/>
          <w:szCs w:val="44"/>
        </w:rPr>
        <w:t>（征求意见稿）》</w:t>
      </w:r>
      <w:r>
        <w:rPr>
          <w:rFonts w:hint="eastAsia" w:ascii="方正小标宋简体" w:eastAsia="方正小标宋简体"/>
          <w:sz w:val="40"/>
          <w:szCs w:val="44"/>
        </w:rPr>
        <w:t>的起草说明</w:t>
      </w:r>
    </w:p>
    <w:p>
      <w:pPr>
        <w:pStyle w:val="4"/>
        <w:spacing w:before="0" w:after="0" w:line="600" w:lineRule="exact"/>
        <w:ind w:firstLine="640" w:firstLineChars="200"/>
        <w:rPr>
          <w:rFonts w:ascii="黑体" w:hAnsi="黑体" w:eastAsia="黑体" w:cs="黑体"/>
          <w:b w:val="0"/>
          <w:bCs w:val="0"/>
          <w:kern w:val="2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kern w:val="2"/>
          <w:sz w:val="32"/>
          <w:szCs w:val="32"/>
        </w:rPr>
        <w:t>一、制定目的</w:t>
      </w:r>
    </w:p>
    <w:p>
      <w:pPr>
        <w:pStyle w:val="4"/>
        <w:spacing w:before="0" w:after="0" w:line="600" w:lineRule="exact"/>
        <w:ind w:firstLine="640" w:firstLineChars="200"/>
        <w:rPr>
          <w:rFonts w:hint="eastAsia"/>
          <w:lang w:val="en-US" w:eastAsia="zh-CN"/>
        </w:rPr>
      </w:pPr>
      <w:r>
        <w:rPr>
          <w:rFonts w:hint="eastAsia" w:ascii="仿宋_GB2312" w:hAnsi="仿宋_GB2312" w:eastAsia="仿宋_GB2312" w:cstheme="minorBidi"/>
          <w:b w:val="0"/>
          <w:bCs w:val="0"/>
          <w:kern w:val="2"/>
          <w:sz w:val="32"/>
          <w:szCs w:val="40"/>
          <w:lang w:val="en-US" w:eastAsia="zh-CN" w:bidi="ar-SA"/>
        </w:rPr>
        <w:t>2020年12月28日，北京经济技术开发区制定并出台了《北京经济技术开发区视听产业政策》和《北京经济技术开发区游戏产业政策》，政策有效期三年。为保证产业政策的连贯性，北京经济技术开发区整合、优化《北京经济技术开发区视听产业政策》和《北京经济技术开发区游戏产业政策》，并征求相关领域多家企业意见，编制形成了《北京经济技术开发区关于促进科文融合产业高质量发展的若干措施（征求意见稿）》。</w:t>
      </w:r>
    </w:p>
    <w:p>
      <w:pPr>
        <w:pStyle w:val="4"/>
        <w:spacing w:before="0" w:after="0" w:line="600" w:lineRule="exact"/>
        <w:ind w:firstLine="640" w:firstLineChars="200"/>
        <w:rPr>
          <w:rFonts w:ascii="黑体" w:hAnsi="黑体" w:eastAsia="黑体" w:cs="黑体"/>
          <w:b w:val="0"/>
          <w:bCs w:val="0"/>
          <w:kern w:val="2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kern w:val="2"/>
          <w:sz w:val="32"/>
          <w:szCs w:val="32"/>
        </w:rPr>
        <w:t>二、制定依据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/>
          <w:sz w:val="32"/>
          <w:szCs w:val="40"/>
          <w:lang w:eastAsia="zh-CN"/>
        </w:rPr>
      </w:pPr>
      <w:r>
        <w:rPr>
          <w:rFonts w:hint="eastAsia" w:ascii="仿宋_GB2312" w:hAnsi="仿宋_GB2312" w:eastAsia="仿宋_GB2312"/>
          <w:sz w:val="32"/>
          <w:szCs w:val="40"/>
        </w:rPr>
        <w:t>《北京市推进全国文化中心建设中长期规划（2019年-2035年）》、《北京市“十四五”时期文化产业发展规划》、《北京市“十四五”时期广播电视和网络视听发展规划》、《“十四五”时期北京经济技术开发区发展建设和二〇三五年远景目标规划》、《北京经济技术开发区“十四五”时期文化产业发展规划》</w:t>
      </w:r>
      <w:r>
        <w:rPr>
          <w:rFonts w:hint="eastAsia" w:ascii="仿宋_GB2312" w:hAnsi="仿宋_GB2312" w:eastAsia="仿宋_GB2312"/>
          <w:sz w:val="32"/>
          <w:szCs w:val="40"/>
          <w:lang w:eastAsia="zh-CN"/>
        </w:rPr>
        <w:t>。</w:t>
      </w:r>
    </w:p>
    <w:p>
      <w:pPr>
        <w:pStyle w:val="4"/>
        <w:spacing w:before="0" w:after="0" w:line="600" w:lineRule="exact"/>
        <w:ind w:firstLine="640" w:firstLineChars="200"/>
        <w:rPr>
          <w:rFonts w:ascii="黑体" w:hAnsi="黑体" w:eastAsia="黑体" w:cs="黑体"/>
          <w:b w:val="0"/>
          <w:bCs w:val="0"/>
          <w:kern w:val="2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kern w:val="2"/>
          <w:sz w:val="32"/>
          <w:szCs w:val="32"/>
        </w:rPr>
        <w:t>三、起草过程</w:t>
      </w:r>
    </w:p>
    <w:p>
      <w:pPr>
        <w:pStyle w:val="4"/>
        <w:spacing w:before="0" w:after="0" w:line="600" w:lineRule="exact"/>
        <w:ind w:firstLine="640" w:firstLineChars="200"/>
        <w:rPr>
          <w:rFonts w:hint="eastAsia" w:ascii="仿宋_GB2312" w:hAnsi="仿宋_GB2312" w:eastAsia="仿宋_GB2312" w:cstheme="minorBidi"/>
          <w:b w:val="0"/>
          <w:bCs w:val="0"/>
          <w:kern w:val="2"/>
          <w:sz w:val="32"/>
          <w:szCs w:val="40"/>
          <w:lang w:val="en-US" w:eastAsia="zh-CN" w:bidi="ar-SA"/>
        </w:rPr>
      </w:pPr>
      <w:r>
        <w:rPr>
          <w:rFonts w:hint="eastAsia" w:ascii="仿宋_GB2312" w:hAnsi="仿宋_GB2312" w:eastAsia="仿宋_GB2312" w:cstheme="minorBidi"/>
          <w:b w:val="0"/>
          <w:bCs w:val="0"/>
          <w:kern w:val="2"/>
          <w:sz w:val="32"/>
          <w:szCs w:val="40"/>
          <w:lang w:val="en-US" w:eastAsia="zh-CN" w:bidi="ar-SA"/>
        </w:rPr>
        <w:t>本措施由北京经济技术开发区宣传文化部起草，围绕视听、游戏、元宇宙等科文融合产业开展调研工作，征求区内外企业、各相关部门意见，并对本措施进行了多次修改，形成了《北京经济技术开发区关于促进科文融合产业高质量发展的若干措施（征求意见稿）》。</w:t>
      </w:r>
    </w:p>
    <w:p>
      <w:pPr>
        <w:pStyle w:val="4"/>
        <w:spacing w:before="0" w:after="0" w:line="600" w:lineRule="exact"/>
        <w:ind w:firstLine="640" w:firstLineChars="200"/>
        <w:rPr>
          <w:rFonts w:ascii="黑体" w:hAnsi="黑体" w:eastAsia="黑体" w:cs="黑体"/>
          <w:b w:val="0"/>
          <w:bCs w:val="0"/>
          <w:kern w:val="2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kern w:val="2"/>
          <w:sz w:val="32"/>
          <w:szCs w:val="32"/>
        </w:rPr>
        <w:t>四、主要内容说明</w:t>
      </w:r>
    </w:p>
    <w:p>
      <w:pPr>
        <w:pStyle w:val="2"/>
        <w:spacing w:after="0" w:line="600" w:lineRule="exact"/>
        <w:ind w:left="0" w:leftChars="0" w:firstLine="640"/>
        <w:rPr>
          <w:rFonts w:hint="eastAsia" w:ascii="仿宋_GB2312" w:hAnsi="仿宋_GB2312" w:eastAsia="仿宋_GB2312"/>
          <w:sz w:val="32"/>
          <w:szCs w:val="40"/>
          <w:lang w:eastAsia="zh-CN"/>
        </w:rPr>
      </w:pPr>
      <w:r>
        <w:rPr>
          <w:rFonts w:hint="eastAsia" w:ascii="仿宋_GB2312" w:hAnsi="仿宋_GB2312" w:eastAsia="仿宋_GB2312"/>
          <w:sz w:val="32"/>
          <w:szCs w:val="40"/>
        </w:rPr>
        <w:t>此次起草的《北京经济技术开发区关于促进科文融合产业高质量发展的若干措施（征求意见稿）</w:t>
      </w:r>
      <w:r>
        <w:rPr>
          <w:rFonts w:ascii="仿宋_GB2312" w:hAnsi="仿宋_GB2312" w:eastAsia="仿宋_GB2312"/>
          <w:sz w:val="32"/>
          <w:szCs w:val="40"/>
        </w:rPr>
        <w:t>》</w:t>
      </w:r>
      <w:r>
        <w:rPr>
          <w:rFonts w:hint="eastAsia" w:ascii="仿宋_GB2312" w:hAnsi="仿宋_GB2312" w:eastAsia="仿宋_GB2312"/>
          <w:sz w:val="32"/>
          <w:szCs w:val="40"/>
        </w:rPr>
        <w:t>包括</w:t>
      </w:r>
      <w:r>
        <w:rPr>
          <w:rFonts w:hint="eastAsia" w:ascii="仿宋_GB2312" w:hAnsi="仿宋_GB2312" w:eastAsia="仿宋_GB2312"/>
          <w:sz w:val="32"/>
          <w:szCs w:val="40"/>
          <w:lang w:eastAsia="zh-CN"/>
        </w:rPr>
        <w:t>支持产业集聚发展、支持创新融合发展、促进产业生态打造、提升产业发展要素等四个方面具体措施。</w:t>
      </w:r>
    </w:p>
    <w:p>
      <w:pPr>
        <w:pStyle w:val="2"/>
        <w:spacing w:after="0" w:line="600" w:lineRule="exact"/>
        <w:ind w:left="0" w:leftChars="0" w:firstLine="640"/>
        <w:rPr>
          <w:rFonts w:hint="eastAsia" w:ascii="仿宋_GB2312" w:hAnsi="仿宋_GB2312" w:eastAsia="仿宋_GB2312"/>
          <w:sz w:val="32"/>
          <w:szCs w:val="40"/>
          <w:lang w:eastAsia="zh-CN"/>
        </w:rPr>
      </w:pPr>
      <w:r>
        <w:rPr>
          <w:rFonts w:hint="eastAsia" w:ascii="仿宋_GB2312" w:hAnsi="仿宋_GB2312" w:eastAsia="仿宋_GB2312"/>
          <w:sz w:val="32"/>
          <w:szCs w:val="40"/>
          <w:lang w:eastAsia="zh-CN"/>
        </w:rPr>
        <w:t>一是支持产业集聚发展，鼓励企业在经开区落户。对新入区的企业，按当年营业收入进行资金奖励。对新入专业园区的企业，按照标准给予年租金补贴。鼓励电竞俱乐部在经开区落地，按照赛事级别给予奖励。</w:t>
      </w:r>
    </w:p>
    <w:p>
      <w:pPr>
        <w:pStyle w:val="2"/>
        <w:spacing w:after="0" w:line="600" w:lineRule="exact"/>
        <w:ind w:left="0" w:leftChars="0" w:firstLine="640"/>
        <w:rPr>
          <w:rFonts w:hint="eastAsia" w:ascii="仿宋_GB2312" w:hAnsi="仿宋_GB2312" w:eastAsia="仿宋_GB2312"/>
          <w:sz w:val="32"/>
          <w:szCs w:val="40"/>
          <w:lang w:eastAsia="zh-CN"/>
        </w:rPr>
      </w:pPr>
      <w:r>
        <w:rPr>
          <w:rFonts w:hint="eastAsia" w:ascii="仿宋_GB2312" w:hAnsi="仿宋_GB2312" w:eastAsia="仿宋_GB2312"/>
          <w:sz w:val="32"/>
          <w:szCs w:val="40"/>
          <w:lang w:eastAsia="zh-CN"/>
        </w:rPr>
        <w:t>二是支持创新融合发展，鼓励企业研发和创作。对新获批国家级研发机构，给予奖励。对于获得国家级视听内容奖项的作品，给予奖励。对于拥有自主知识产权，销售收入达标的网络游戏产品，给予奖励。提高企业研发和创新的积极性。</w:t>
      </w:r>
    </w:p>
    <w:p>
      <w:pPr>
        <w:pStyle w:val="2"/>
        <w:spacing w:after="0" w:line="600" w:lineRule="exact"/>
        <w:ind w:left="0" w:leftChars="0" w:firstLine="640"/>
        <w:rPr>
          <w:rFonts w:hint="eastAsia" w:ascii="仿宋_GB2312" w:hAnsi="仿宋_GB2312" w:eastAsia="仿宋_GB2312"/>
          <w:sz w:val="32"/>
          <w:szCs w:val="40"/>
          <w:lang w:eastAsia="zh-CN"/>
        </w:rPr>
      </w:pPr>
      <w:r>
        <w:rPr>
          <w:rFonts w:hint="eastAsia" w:ascii="仿宋_GB2312" w:hAnsi="仿宋_GB2312" w:eastAsia="仿宋_GB2312"/>
          <w:sz w:val="32"/>
          <w:szCs w:val="40"/>
          <w:lang w:eastAsia="zh-CN"/>
        </w:rPr>
        <w:t>三是促进产业生态打造，完善产业发展载体。鼓励建设专业电竞场馆和虚拟专业摄影棚。支持产业园区升级，对于获得国家、市级产业基地的单位，给予奖励支持。支持打造产业活动和赛事体系，鼓励企业承办国家级产业活动、国际职业电竞赛事。</w:t>
      </w:r>
      <w:bookmarkStart w:id="1" w:name="_GoBack"/>
      <w:bookmarkEnd w:id="1"/>
    </w:p>
    <w:p>
      <w:pPr>
        <w:pStyle w:val="2"/>
        <w:spacing w:after="0" w:line="600" w:lineRule="exact"/>
        <w:ind w:left="0" w:leftChars="0" w:firstLine="640"/>
        <w:rPr>
          <w:rFonts w:hint="eastAsia" w:ascii="仿宋_GB2312" w:hAnsi="仿宋_GB2312" w:eastAsia="仿宋_GB2312"/>
          <w:sz w:val="32"/>
          <w:szCs w:val="40"/>
          <w:lang w:eastAsia="zh-CN"/>
        </w:rPr>
      </w:pPr>
      <w:r>
        <w:rPr>
          <w:rFonts w:hint="eastAsia" w:ascii="仿宋_GB2312" w:hAnsi="仿宋_GB2312" w:eastAsia="仿宋_GB2312"/>
          <w:sz w:val="32"/>
          <w:szCs w:val="40"/>
          <w:lang w:eastAsia="zh-CN"/>
        </w:rPr>
        <w:t>四是提升产业发展要素，加强人才和金融服务保障。推荐高新视听、游戏电竞等领域人才纳入经开区高精尖产业人才认定范畴，并在创新创业、住房等方面享有优惠。鼓励企业在境内主板、科创板、创业板、北交所上市，给予资金奖励。</w:t>
      </w:r>
    </w:p>
    <w:p>
      <w:pPr>
        <w:pStyle w:val="2"/>
        <w:spacing w:after="0" w:line="600" w:lineRule="exact"/>
        <w:ind w:left="0" w:leftChars="0" w:firstLine="0" w:firstLineChars="0"/>
        <w:rPr>
          <w:rFonts w:ascii="仿宋_GB2312" w:hAnsi="仿宋_GB2312" w:eastAsia="仿宋_GB2312"/>
          <w:sz w:val="32"/>
          <w:szCs w:val="40"/>
        </w:rPr>
      </w:pPr>
    </w:p>
    <w:p>
      <w:pPr>
        <w:pStyle w:val="2"/>
        <w:spacing w:after="0" w:line="600" w:lineRule="exact"/>
        <w:ind w:left="0" w:leftChars="0" w:firstLine="640"/>
        <w:jc w:val="right"/>
        <w:rPr>
          <w:rFonts w:ascii="仿宋_GB2312" w:hAnsi="仿宋_GB2312" w:eastAsia="仿宋_GB2312"/>
          <w:sz w:val="32"/>
          <w:szCs w:val="40"/>
        </w:rPr>
      </w:pPr>
      <w:r>
        <w:rPr>
          <w:rFonts w:hint="eastAsia" w:ascii="仿宋_GB2312" w:hAnsi="仿宋_GB2312" w:eastAsia="仿宋_GB2312"/>
          <w:sz w:val="32"/>
          <w:szCs w:val="40"/>
        </w:rPr>
        <w:t>北京经济技术开发区管理委员会</w:t>
      </w:r>
    </w:p>
    <w:p>
      <w:pPr>
        <w:pStyle w:val="2"/>
        <w:spacing w:after="0" w:line="600" w:lineRule="exact"/>
        <w:ind w:left="0" w:leftChars="0" w:firstLine="640"/>
        <w:jc w:val="center"/>
        <w:rPr>
          <w:rFonts w:ascii="仿宋_GB2312" w:hAnsi="仿宋_GB2312" w:eastAsia="仿宋_GB2312"/>
          <w:sz w:val="32"/>
          <w:szCs w:val="40"/>
        </w:rPr>
      </w:pPr>
      <w:r>
        <w:rPr>
          <w:rFonts w:hint="eastAsia" w:ascii="仿宋_GB2312" w:hAnsi="仿宋_GB2312" w:eastAsia="仿宋_GB2312"/>
          <w:sz w:val="32"/>
          <w:szCs w:val="40"/>
        </w:rPr>
        <w:t xml:space="preserve">                    202</w:t>
      </w:r>
      <w:r>
        <w:rPr>
          <w:rFonts w:hint="eastAsia" w:ascii="仿宋_GB2312" w:hAnsi="仿宋_GB2312" w:eastAsia="仿宋_GB2312"/>
          <w:sz w:val="32"/>
          <w:szCs w:val="40"/>
          <w:lang w:val="en-US" w:eastAsia="zh-CN"/>
        </w:rPr>
        <w:t>3</w:t>
      </w:r>
      <w:r>
        <w:rPr>
          <w:rFonts w:hint="eastAsia" w:ascii="仿宋_GB2312" w:hAnsi="仿宋_GB2312" w:eastAsia="仿宋_GB2312"/>
          <w:sz w:val="32"/>
          <w:szCs w:val="40"/>
        </w:rPr>
        <w:t>年</w:t>
      </w:r>
      <w:r>
        <w:rPr>
          <w:rFonts w:hint="eastAsia" w:ascii="仿宋_GB2312" w:hAnsi="仿宋_GB2312" w:eastAsia="仿宋_GB2312"/>
          <w:sz w:val="32"/>
          <w:szCs w:val="40"/>
          <w:lang w:val="en-US" w:eastAsia="zh-CN"/>
        </w:rPr>
        <w:t>8</w:t>
      </w:r>
      <w:r>
        <w:rPr>
          <w:rFonts w:hint="eastAsia" w:ascii="仿宋_GB2312" w:hAnsi="仿宋_GB2312" w:eastAsia="仿宋_GB2312"/>
          <w:sz w:val="32"/>
          <w:szCs w:val="40"/>
        </w:rPr>
        <w:t>月</w:t>
      </w:r>
      <w:r>
        <w:rPr>
          <w:rFonts w:ascii="仿宋_GB2312" w:hAnsi="仿宋_GB2312" w:eastAsia="仿宋_GB2312"/>
          <w:sz w:val="32"/>
          <w:szCs w:val="40"/>
        </w:rPr>
        <w:t>21</w:t>
      </w:r>
      <w:r>
        <w:rPr>
          <w:rFonts w:hint="eastAsia" w:ascii="仿宋_GB2312" w:hAnsi="仿宋_GB2312" w:eastAsia="仿宋_GB2312"/>
          <w:sz w:val="32"/>
          <w:szCs w:val="40"/>
        </w:rPr>
        <w:t xml:space="preserve">日    </w:t>
      </w: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CC"/>
    <w:family w:val="roman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CESI仿宋-GB2312">
    <w:panose1 w:val="02000500000000000000"/>
    <w:charset w:val="86"/>
    <w:family w:val="auto"/>
    <w:pitch w:val="default"/>
    <w:sig w:usb0="800002AF" w:usb1="084F6CF8" w:usb2="00000010" w:usb3="00000000" w:csb0="0004000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等线">
    <w:altName w:val="汉仪中宋简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仿宋_GB2312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仿宋_GB2312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 Light">
    <w:altName w:val="汉仪中宋简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altName w:val="DejaVu Sans"/>
    <w:panose1 w:val="020B0604020202020204"/>
    <w:charset w:val="86"/>
    <w:family w:val="roman"/>
    <w:pitch w:val="default"/>
    <w:sig w:usb0="00000000" w:usb1="00000000" w:usb2="0000003F" w:usb3="00000000" w:csb0="603F01FF" w:csb1="FFFF0000"/>
  </w:font>
  <w:font w:name="CESI黑体-GB13000">
    <w:panose1 w:val="02000500000000000000"/>
    <w:charset w:val="86"/>
    <w:family w:val="auto"/>
    <w:pitch w:val="default"/>
    <w:sig w:usb0="800002BF" w:usb1="38CF7CF8" w:usb2="00000016" w:usb3="00000000" w:csb0="0004000F" w:csb1="00000000"/>
  </w:font>
  <w:font w:name="隶书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等线 Light">
    <w:altName w:val="仿宋_GB2312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id w:val="589350446"/>
                            <w:docPartObj>
                              <w:docPartGallery w:val="autotext"/>
                            </w:docPartObj>
                          </w:sdtPr>
                          <w:sdtContent>
                            <w:p>
                              <w:pPr>
                                <w:pStyle w:val="6"/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PAGE   \* MERGEFORMAT</w:instrText>
                              </w:r>
                              <w:r>
                                <w:fldChar w:fldCharType="separate"/>
                              </w:r>
                              <w:r>
                                <w:rPr>
                                  <w:lang w:val="zh-CN"/>
                                </w:rPr>
                                <w:t>2</w:t>
                              </w:r>
                              <w:r>
                                <w:fldChar w:fldCharType="end"/>
                              </w:r>
                            </w:p>
                          </w:sdtContent>
                        </w:sdt>
                        <w:p>
                          <w:pPr>
                            <w:pStyle w:val="2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sdt>
                    <w:sdtPr>
                      <w:id w:val="589350446"/>
                      <w:docPartObj>
                        <w:docPartGallery w:val="autotext"/>
                      </w:docPartObj>
                    </w:sdtPr>
                    <w:sdtContent>
                      <w:p>
                        <w:pPr>
                          <w:pStyle w:val="6"/>
                          <w:jc w:val="center"/>
                        </w:pPr>
                        <w:r>
                          <w:fldChar w:fldCharType="begin"/>
                        </w:r>
                        <w:r>
                          <w:instrText xml:space="preserve">PAGE   \* MERGEFORMAT</w:instrText>
                        </w:r>
                        <w:r>
                          <w:fldChar w:fldCharType="separate"/>
                        </w:r>
                        <w:r>
                          <w:rPr>
                            <w:lang w:val="zh-CN"/>
                          </w:rPr>
                          <w:t>2</w:t>
                        </w:r>
                        <w:r>
                          <w:fldChar w:fldCharType="end"/>
                        </w:r>
                      </w:p>
                    </w:sdtContent>
                  </w:sdt>
                  <w:p>
                    <w:pPr>
                      <w:pStyle w:val="2"/>
                    </w:pPr>
                  </w:p>
                </w:txbxContent>
              </v:textbox>
            </v:shape>
          </w:pict>
        </mc:Fallback>
      </mc:AlternateContent>
    </w:r>
  </w:p>
  <w:p>
    <w:pPr>
      <w:pStyle w:val="6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246C"/>
    <w:rsid w:val="0000785F"/>
    <w:rsid w:val="00072C8B"/>
    <w:rsid w:val="0007738B"/>
    <w:rsid w:val="001823EB"/>
    <w:rsid w:val="001B3F90"/>
    <w:rsid w:val="001D185E"/>
    <w:rsid w:val="001E45D2"/>
    <w:rsid w:val="00212E02"/>
    <w:rsid w:val="0023281E"/>
    <w:rsid w:val="002667C3"/>
    <w:rsid w:val="0029632D"/>
    <w:rsid w:val="00361980"/>
    <w:rsid w:val="00415512"/>
    <w:rsid w:val="0043246C"/>
    <w:rsid w:val="004726DE"/>
    <w:rsid w:val="00603295"/>
    <w:rsid w:val="00703157"/>
    <w:rsid w:val="00771DD8"/>
    <w:rsid w:val="007A1DC3"/>
    <w:rsid w:val="007C70BA"/>
    <w:rsid w:val="00911016"/>
    <w:rsid w:val="00961670"/>
    <w:rsid w:val="009C23A4"/>
    <w:rsid w:val="009D2B91"/>
    <w:rsid w:val="00AA1A15"/>
    <w:rsid w:val="00BC69AF"/>
    <w:rsid w:val="00BF5AD2"/>
    <w:rsid w:val="00C52ABA"/>
    <w:rsid w:val="00C53CC0"/>
    <w:rsid w:val="00D26C64"/>
    <w:rsid w:val="00D61548"/>
    <w:rsid w:val="00D63020"/>
    <w:rsid w:val="1EF4977F"/>
    <w:rsid w:val="32FEE870"/>
    <w:rsid w:val="3B9FE5B9"/>
    <w:rsid w:val="3BB7337B"/>
    <w:rsid w:val="4E6EB814"/>
    <w:rsid w:val="6DDBA366"/>
    <w:rsid w:val="775BF5F8"/>
    <w:rsid w:val="779A1185"/>
    <w:rsid w:val="7AD3CFC2"/>
    <w:rsid w:val="7F0F38A9"/>
    <w:rsid w:val="7F7B741F"/>
    <w:rsid w:val="7F7F6A34"/>
    <w:rsid w:val="7F9FBD84"/>
    <w:rsid w:val="9DBD8AF1"/>
    <w:rsid w:val="BD7E8DE1"/>
    <w:rsid w:val="BD7FE0E4"/>
    <w:rsid w:val="BDFFB713"/>
    <w:rsid w:val="DFBF0055"/>
    <w:rsid w:val="ED778C90"/>
    <w:rsid w:val="EDBF45DF"/>
    <w:rsid w:val="EF7E7C6F"/>
    <w:rsid w:val="F5BD18C4"/>
    <w:rsid w:val="F66B1732"/>
    <w:rsid w:val="F733FB10"/>
    <w:rsid w:val="F77F2E87"/>
    <w:rsid w:val="F9792BA9"/>
    <w:rsid w:val="F9BE8E4E"/>
    <w:rsid w:val="FBFD21EA"/>
    <w:rsid w:val="FBFF38B7"/>
    <w:rsid w:val="FBFFEAD2"/>
    <w:rsid w:val="FDDD8FAD"/>
    <w:rsid w:val="FEA745D0"/>
    <w:rsid w:val="FFDDD87A"/>
    <w:rsid w:val="FFFF6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4">
    <w:name w:val="heading 1"/>
    <w:basedOn w:val="1"/>
    <w:next w:val="1"/>
    <w:link w:val="13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5">
    <w:name w:val="heading 2"/>
    <w:basedOn w:val="1"/>
    <w:next w:val="1"/>
    <w:link w:val="15"/>
    <w:semiHidden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link w:val="17"/>
    <w:qFormat/>
    <w:uiPriority w:val="99"/>
    <w:pPr>
      <w:ind w:firstLine="1120" w:firstLineChars="200"/>
    </w:pPr>
    <w:rPr>
      <w:rFonts w:ascii="Times New Roman" w:hAnsi="Times New Roman" w:eastAsia="Arial Unicode MS" w:cs="Arial Unicode MS"/>
      <w:color w:val="000000"/>
      <w:szCs w:val="21"/>
    </w:rPr>
  </w:style>
  <w:style w:type="paragraph" w:styleId="3">
    <w:name w:val="Body Text Indent"/>
    <w:basedOn w:val="1"/>
    <w:link w:val="16"/>
    <w:semiHidden/>
    <w:unhideWhenUsed/>
    <w:qFormat/>
    <w:uiPriority w:val="99"/>
    <w:pPr>
      <w:spacing w:after="120"/>
      <w:ind w:left="420" w:leftChars="200"/>
    </w:pPr>
  </w:style>
  <w:style w:type="paragraph" w:styleId="6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customStyle="1" w:styleId="11">
    <w:name w:val="页眉 字符"/>
    <w:basedOn w:val="10"/>
    <w:link w:val="7"/>
    <w:qFormat/>
    <w:uiPriority w:val="99"/>
    <w:rPr>
      <w:sz w:val="18"/>
      <w:szCs w:val="18"/>
    </w:rPr>
  </w:style>
  <w:style w:type="character" w:customStyle="1" w:styleId="12">
    <w:name w:val="页脚 字符"/>
    <w:basedOn w:val="10"/>
    <w:link w:val="6"/>
    <w:qFormat/>
    <w:uiPriority w:val="99"/>
    <w:rPr>
      <w:sz w:val="18"/>
      <w:szCs w:val="18"/>
    </w:rPr>
  </w:style>
  <w:style w:type="character" w:customStyle="1" w:styleId="13">
    <w:name w:val="标题 1 字符"/>
    <w:basedOn w:val="10"/>
    <w:link w:val="4"/>
    <w:qFormat/>
    <w:uiPriority w:val="9"/>
    <w:rPr>
      <w:b/>
      <w:bCs/>
      <w:kern w:val="44"/>
      <w:sz w:val="44"/>
      <w:szCs w:val="44"/>
    </w:rPr>
  </w:style>
  <w:style w:type="paragraph" w:styleId="14">
    <w:name w:val="List Paragraph"/>
    <w:basedOn w:val="1"/>
    <w:qFormat/>
    <w:uiPriority w:val="34"/>
    <w:pPr>
      <w:ind w:firstLine="420" w:firstLineChars="200"/>
    </w:pPr>
  </w:style>
  <w:style w:type="character" w:customStyle="1" w:styleId="15">
    <w:name w:val="标题 2 字符"/>
    <w:basedOn w:val="10"/>
    <w:link w:val="5"/>
    <w:semiHidden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16">
    <w:name w:val="正文文本缩进 字符"/>
    <w:basedOn w:val="10"/>
    <w:link w:val="3"/>
    <w:semiHidden/>
    <w:qFormat/>
    <w:uiPriority w:val="99"/>
  </w:style>
  <w:style w:type="character" w:customStyle="1" w:styleId="17">
    <w:name w:val="正文文本首行缩进 2 字符"/>
    <w:basedOn w:val="16"/>
    <w:link w:val="2"/>
    <w:qFormat/>
    <w:uiPriority w:val="99"/>
    <w:rPr>
      <w:rFonts w:ascii="Times New Roman" w:hAnsi="Times New Roman" w:eastAsia="Arial Unicode MS" w:cs="Arial Unicode MS"/>
      <w:color w:val="00000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192</Words>
  <Characters>1099</Characters>
  <Lines>9</Lines>
  <Paragraphs>2</Paragraphs>
  <TotalTime>111</TotalTime>
  <ScaleCrop>false</ScaleCrop>
  <LinksUpToDate>false</LinksUpToDate>
  <CharactersWithSpaces>1289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2021-12-16T09:55:00Z</dcterms:created>
  <dc:creator>Sun Kai</dc:creator>
  <cp:lastModifiedBy>BDA</cp:lastModifiedBy>
  <cp:lastPrinted>2023-08-21T22:11:00Z</cp:lastPrinted>
  <dcterms:modified xsi:type="dcterms:W3CDTF">2023-08-21T16:03:11Z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</Properties>
</file>