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600" w:lineRule="exact"/>
        <w:jc w:val="left"/>
        <w:rPr>
          <w:rFonts w:hint="default" w:ascii="CESI黑体-GB13000" w:hAnsi="CESI黑体-GB13000" w:eastAsia="CESI黑体-GB13000" w:cs="CESI黑体-GB13000"/>
          <w:color w:val="000000"/>
          <w:sz w:val="32"/>
          <w:szCs w:val="32"/>
          <w:lang w:val="en-US" w:eastAsia="zh-CN"/>
        </w:rPr>
      </w:pPr>
      <w:r>
        <w:rPr>
          <w:rFonts w:hint="eastAsia" w:ascii="CESI黑体-GB13000" w:hAnsi="CESI黑体-GB13000" w:eastAsia="CESI黑体-GB13000" w:cs="CESI黑体-GB13000"/>
          <w:color w:val="000000"/>
          <w:sz w:val="32"/>
          <w:szCs w:val="32"/>
          <w:lang w:eastAsia="zh-CN"/>
        </w:rPr>
        <w:t>附件</w:t>
      </w:r>
      <w:r>
        <w:rPr>
          <w:rFonts w:hint="eastAsia" w:ascii="CESI黑体-GB13000" w:hAnsi="CESI黑体-GB13000" w:eastAsia="CESI黑体-GB13000" w:cs="CESI黑体-GB13000"/>
          <w:color w:val="000000"/>
          <w:sz w:val="32"/>
          <w:szCs w:val="32"/>
          <w:lang w:val="en-US" w:eastAsia="zh-CN"/>
        </w:rPr>
        <w:t>1</w:t>
      </w:r>
    </w:p>
    <w:p>
      <w:pPr>
        <w:pStyle w:val="2"/>
        <w:rPr>
          <w:rFonts w:hint="eastAsia"/>
          <w:lang w:eastAsia="zh-CN"/>
        </w:rPr>
      </w:pPr>
    </w:p>
    <w:p>
      <w:pPr>
        <w:snapToGrid w:val="0"/>
        <w:spacing w:line="600" w:lineRule="exact"/>
        <w:jc w:val="center"/>
        <w:rPr>
          <w:rFonts w:ascii="Times New Roman" w:hAnsi="Times New Roman" w:eastAsia="方正小标宋_GBK"/>
          <w:color w:val="000000"/>
          <w:sz w:val="44"/>
          <w:szCs w:val="44"/>
        </w:rPr>
      </w:pPr>
      <w:r>
        <w:rPr>
          <w:rFonts w:hint="eastAsia" w:ascii="Times New Roman" w:hAnsi="Times New Roman" w:eastAsia="方正小标宋_GBK"/>
          <w:color w:val="000000"/>
          <w:sz w:val="44"/>
          <w:szCs w:val="44"/>
        </w:rPr>
        <w:t>北京经济技术开发区关于促进</w:t>
      </w:r>
      <w:r>
        <w:rPr>
          <w:rFonts w:ascii="Times New Roman" w:hAnsi="Times New Roman" w:eastAsia="方正小标宋_GBK"/>
          <w:color w:val="000000"/>
          <w:sz w:val="44"/>
          <w:szCs w:val="44"/>
        </w:rPr>
        <w:t>科文融合</w:t>
      </w:r>
    </w:p>
    <w:p>
      <w:pPr>
        <w:snapToGrid w:val="0"/>
        <w:spacing w:line="600" w:lineRule="exact"/>
        <w:jc w:val="center"/>
        <w:rPr>
          <w:rFonts w:ascii="Times New Roman" w:hAnsi="Times New Roman" w:eastAsia="方正小标宋_GBK"/>
          <w:color w:val="000000"/>
          <w:sz w:val="44"/>
          <w:szCs w:val="44"/>
        </w:rPr>
      </w:pPr>
      <w:r>
        <w:rPr>
          <w:rFonts w:hint="eastAsia" w:ascii="Times New Roman" w:hAnsi="Times New Roman" w:eastAsia="方正小标宋_GBK"/>
          <w:color w:val="000000"/>
          <w:sz w:val="44"/>
          <w:szCs w:val="44"/>
        </w:rPr>
        <w:t>产业高质量发展的若干措施</w:t>
      </w:r>
    </w:p>
    <w:p>
      <w:pPr>
        <w:pStyle w:val="8"/>
        <w:shd w:val="clear" w:color="auto" w:fill="FFFFFF"/>
        <w:snapToGrid w:val="0"/>
        <w:spacing w:before="0" w:beforeAutospacing="0" w:after="0" w:afterAutospacing="0" w:line="600" w:lineRule="exact"/>
        <w:jc w:val="center"/>
        <w:textAlignment w:val="baseline"/>
        <w:rPr>
          <w:rFonts w:ascii="Times New Roman" w:hAnsi="Times New Roman" w:eastAsia="方正小标宋_GBK" w:cs="Times New Roman"/>
          <w:color w:val="000000"/>
          <w:sz w:val="44"/>
          <w:szCs w:val="44"/>
        </w:rPr>
      </w:pPr>
      <w:r>
        <w:rPr>
          <w:rFonts w:ascii="Times New Roman" w:hAnsi="Times New Roman" w:eastAsia="方正小标宋_GBK" w:cs="Times New Roman"/>
          <w:color w:val="000000"/>
          <w:sz w:val="44"/>
          <w:szCs w:val="44"/>
        </w:rPr>
        <w:t>（征求意见稿）</w:t>
      </w:r>
    </w:p>
    <w:p>
      <w:pPr>
        <w:pStyle w:val="8"/>
        <w:shd w:val="clear" w:color="auto" w:fill="FFFFFF"/>
        <w:snapToGrid w:val="0"/>
        <w:spacing w:before="0" w:beforeAutospacing="0" w:after="0" w:afterAutospacing="0" w:line="600" w:lineRule="exact"/>
        <w:jc w:val="both"/>
        <w:textAlignment w:val="baseline"/>
        <w:rPr>
          <w:rFonts w:ascii="Times New Roman" w:hAnsi="Times New Roman"/>
          <w:color w:val="000000"/>
          <w:szCs w:val="32"/>
        </w:rPr>
      </w:pPr>
    </w:p>
    <w:p>
      <w:pPr>
        <w:pStyle w:val="8"/>
        <w:shd w:val="clear" w:color="auto" w:fill="FFFFFF"/>
        <w:snapToGrid w:val="0"/>
        <w:spacing w:before="0" w:beforeAutospacing="0" w:after="0" w:afterAutospacing="0" w:line="600" w:lineRule="exact"/>
        <w:ind w:firstLine="640" w:firstLineChars="200"/>
        <w:jc w:val="both"/>
        <w:textAlignment w:val="baseline"/>
        <w:rPr>
          <w:rFonts w:hint="eastAsia" w:ascii="仿宋_GB2312" w:hAnsi="仿宋_GB2312" w:eastAsia="仿宋_GB2312" w:cs="仿宋_GB2312"/>
          <w:color w:val="000000"/>
          <w:szCs w:val="32"/>
        </w:rPr>
      </w:pPr>
      <w:r>
        <w:rPr>
          <w:rFonts w:hint="eastAsia" w:ascii="仿宋_GB2312" w:hAnsi="仿宋_GB2312" w:eastAsia="仿宋_GB2312" w:cs="仿宋_GB2312"/>
          <w:color w:val="000000"/>
          <w:szCs w:val="32"/>
        </w:rPr>
        <w:t>为贯彻落实《北京市推进全国文化中心建设中长期规划（2019年-2035年）》、《北京市“十四五”时期文化产业发展规划》、《北京市“十四五”时期广播电视和网络视听发展规划》、《“十四五”时期北京经济技术开发区发展建设和二〇三五年远景目标规划》、《北京经济技术开发区“十四五”时期文化产业发展规划》部署，推动北京经济技术开发区科文融合产业高质量发展，制定以下工作措施。</w:t>
      </w:r>
    </w:p>
    <w:p>
      <w:pPr>
        <w:pStyle w:val="8"/>
        <w:shd w:val="clear" w:color="auto" w:fill="FFFFFF"/>
        <w:snapToGrid w:val="0"/>
        <w:spacing w:before="0" w:beforeAutospacing="0" w:after="0" w:afterAutospacing="0" w:line="600" w:lineRule="exact"/>
        <w:ind w:firstLine="640" w:firstLineChars="200"/>
        <w:jc w:val="both"/>
        <w:textAlignment w:val="baseline"/>
        <w:rPr>
          <w:rFonts w:ascii="黑体" w:hAnsi="黑体" w:eastAsia="黑体"/>
          <w:color w:val="000000"/>
          <w:szCs w:val="32"/>
        </w:rPr>
      </w:pPr>
      <w:r>
        <w:rPr>
          <w:rFonts w:hint="eastAsia" w:ascii="黑体" w:hAnsi="黑体" w:eastAsia="黑体"/>
          <w:color w:val="000000"/>
          <w:szCs w:val="32"/>
        </w:rPr>
        <w:t>一、总则</w:t>
      </w:r>
    </w:p>
    <w:p>
      <w:pPr>
        <w:pStyle w:val="8"/>
        <w:shd w:val="clear" w:color="auto" w:fill="FFFFFF"/>
        <w:snapToGrid w:val="0"/>
        <w:spacing w:before="0" w:beforeAutospacing="0" w:after="0" w:afterAutospacing="0" w:line="600" w:lineRule="exact"/>
        <w:ind w:firstLine="320" w:firstLineChars="100"/>
        <w:jc w:val="both"/>
        <w:textAlignment w:val="baseline"/>
        <w:rPr>
          <w:rFonts w:ascii="楷体_GB2312" w:hAnsi="Times New Roman" w:eastAsia="楷体_GB2312"/>
          <w:color w:val="000000"/>
          <w:szCs w:val="32"/>
        </w:rPr>
      </w:pPr>
      <w:r>
        <w:rPr>
          <w:rFonts w:hint="eastAsia" w:ascii="Times New Roman" w:hAnsi="Times New Roman"/>
          <w:color w:val="000000"/>
          <w:szCs w:val="32"/>
        </w:rPr>
        <w:t>　</w:t>
      </w:r>
      <w:r>
        <w:rPr>
          <w:rFonts w:hint="eastAsia" w:ascii="楷体_GB2312" w:hAnsi="Times New Roman" w:eastAsia="楷体_GB2312"/>
          <w:color w:val="000000"/>
          <w:szCs w:val="32"/>
        </w:rPr>
        <w:t>（一）适用对象</w:t>
      </w:r>
    </w:p>
    <w:p>
      <w:pPr>
        <w:pStyle w:val="8"/>
        <w:shd w:val="clear" w:color="auto" w:fill="FFFFFF"/>
        <w:snapToGrid w:val="0"/>
        <w:spacing w:before="0" w:beforeAutospacing="0" w:after="0" w:afterAutospacing="0" w:line="600" w:lineRule="exact"/>
        <w:ind w:firstLine="640" w:firstLineChars="200"/>
        <w:jc w:val="both"/>
        <w:textAlignment w:val="baseline"/>
        <w:rPr>
          <w:rFonts w:ascii="楷体_GB2312" w:hAnsi="Times New Roman" w:eastAsia="楷体_GB2312"/>
          <w:color w:val="000000"/>
          <w:szCs w:val="32"/>
        </w:rPr>
      </w:pPr>
      <w:r>
        <w:rPr>
          <w:rFonts w:hint="eastAsia" w:ascii="Times New Roman" w:hAnsi="Times New Roman"/>
          <w:color w:val="000000"/>
          <w:szCs w:val="32"/>
        </w:rPr>
        <w:t>本措施适用于在亦庄新城范围内完成工商注册、税务登记、统计登记，具有独立法人资格、从事科文融合相关领域研发、生产和服务的各类市场主体。</w:t>
      </w:r>
    </w:p>
    <w:p>
      <w:pPr>
        <w:pStyle w:val="8"/>
        <w:shd w:val="clear" w:color="auto" w:fill="FFFFFF"/>
        <w:snapToGrid w:val="0"/>
        <w:spacing w:before="0" w:beforeAutospacing="0" w:after="0" w:afterAutospacing="0" w:line="600" w:lineRule="exact"/>
        <w:ind w:firstLine="640" w:firstLineChars="200"/>
        <w:jc w:val="both"/>
        <w:textAlignment w:val="baseline"/>
        <w:rPr>
          <w:rFonts w:ascii="楷体_GB2312" w:hAnsi="Times New Roman" w:eastAsia="楷体_GB2312"/>
          <w:color w:val="000000"/>
          <w:szCs w:val="32"/>
        </w:rPr>
      </w:pPr>
      <w:r>
        <w:rPr>
          <w:rFonts w:hint="eastAsia" w:ascii="楷体_GB2312" w:hAnsi="Times New Roman" w:eastAsia="楷体_GB2312"/>
          <w:color w:val="000000"/>
          <w:szCs w:val="32"/>
        </w:rPr>
        <w:t>（二）支持领域</w:t>
      </w:r>
    </w:p>
    <w:p>
      <w:pPr>
        <w:pStyle w:val="8"/>
        <w:shd w:val="clear" w:color="auto" w:fill="FFFFFF"/>
        <w:snapToGrid w:val="0"/>
        <w:spacing w:before="0" w:beforeAutospacing="0" w:after="0" w:afterAutospacing="0" w:line="600" w:lineRule="exact"/>
        <w:ind w:firstLine="640" w:firstLineChars="200"/>
        <w:jc w:val="both"/>
        <w:textAlignment w:val="baseline"/>
        <w:rPr>
          <w:rFonts w:hint="eastAsia" w:ascii="仿宋_GB2312" w:hAnsi="仿宋_GB2312" w:eastAsia="仿宋_GB2312" w:cs="仿宋_GB2312"/>
          <w:color w:val="000000"/>
          <w:szCs w:val="32"/>
        </w:rPr>
      </w:pPr>
      <w:r>
        <w:rPr>
          <w:rFonts w:hint="eastAsia" w:ascii="仿宋_GB2312" w:hAnsi="仿宋_GB2312" w:eastAsia="仿宋_GB2312" w:cs="仿宋_GB2312"/>
          <w:color w:val="000000"/>
          <w:szCs w:val="32"/>
        </w:rPr>
        <w:t>1.高清音视频采集、制作、传输、呈现、应用等高新视听领域；</w:t>
      </w:r>
    </w:p>
    <w:p>
      <w:pPr>
        <w:pStyle w:val="8"/>
        <w:shd w:val="clear" w:color="auto" w:fill="FFFFFF"/>
        <w:snapToGrid w:val="0"/>
        <w:spacing w:before="0" w:beforeAutospacing="0" w:after="0" w:afterAutospacing="0" w:line="600" w:lineRule="exact"/>
        <w:ind w:firstLine="640" w:firstLineChars="200"/>
        <w:jc w:val="both"/>
        <w:textAlignment w:val="baseline"/>
        <w:rPr>
          <w:rFonts w:hint="eastAsia" w:ascii="仿宋_GB2312" w:hAnsi="仿宋_GB2312" w:eastAsia="仿宋_GB2312" w:cs="仿宋_GB2312"/>
          <w:color w:val="000000"/>
          <w:szCs w:val="32"/>
        </w:rPr>
      </w:pPr>
      <w:r>
        <w:rPr>
          <w:rFonts w:hint="eastAsia" w:ascii="仿宋_GB2312" w:hAnsi="仿宋_GB2312" w:eastAsia="仿宋_GB2312" w:cs="仿宋_GB2312"/>
          <w:color w:val="000000"/>
          <w:szCs w:val="32"/>
        </w:rPr>
        <w:t>2.网络游戏内容研发、发行推广、电子竞技、终端设备等游戏电竞领域；</w:t>
      </w:r>
    </w:p>
    <w:p>
      <w:pPr>
        <w:pStyle w:val="8"/>
        <w:shd w:val="clear" w:color="auto" w:fill="FFFFFF"/>
        <w:snapToGrid w:val="0"/>
        <w:spacing w:before="0" w:beforeAutospacing="0" w:after="0" w:afterAutospacing="0" w:line="600" w:lineRule="exact"/>
        <w:ind w:firstLine="640" w:firstLineChars="200"/>
        <w:jc w:val="both"/>
        <w:textAlignment w:val="baseline"/>
        <w:rPr>
          <w:rFonts w:hint="eastAsia" w:ascii="仿宋_GB2312" w:hAnsi="仿宋_GB2312" w:eastAsia="仿宋_GB2312" w:cs="仿宋_GB2312"/>
          <w:color w:val="000000"/>
          <w:szCs w:val="32"/>
        </w:rPr>
      </w:pPr>
      <w:r>
        <w:rPr>
          <w:rFonts w:hint="eastAsia" w:ascii="仿宋_GB2312" w:hAnsi="仿宋_GB2312" w:eastAsia="仿宋_GB2312" w:cs="仿宋_GB2312"/>
          <w:color w:val="000000"/>
          <w:szCs w:val="32"/>
        </w:rPr>
        <w:t>3.交互技术、虚拟现实、人工智能、区块链、物联网、通信网络、先进计算、信息安全等元宇宙领域。</w:t>
      </w:r>
    </w:p>
    <w:p>
      <w:pPr>
        <w:snapToGrid w:val="0"/>
        <w:spacing w:line="600" w:lineRule="exact"/>
        <w:ind w:firstLine="640" w:firstLineChars="200"/>
        <w:rPr>
          <w:rFonts w:ascii="黑体" w:hAnsi="黑体" w:eastAsia="黑体"/>
          <w:color w:val="000000"/>
          <w:sz w:val="32"/>
          <w:szCs w:val="32"/>
          <w:highlight w:val="none"/>
        </w:rPr>
      </w:pPr>
      <w:r>
        <w:rPr>
          <w:rFonts w:hint="eastAsia" w:ascii="黑体" w:hAnsi="黑体" w:eastAsia="黑体"/>
          <w:color w:val="000000"/>
          <w:sz w:val="32"/>
          <w:szCs w:val="32"/>
          <w:highlight w:val="none"/>
        </w:rPr>
        <w:t>二、支持产业集聚发展</w:t>
      </w:r>
    </w:p>
    <w:p>
      <w:pPr>
        <w:snapToGrid w:val="0"/>
        <w:spacing w:line="600" w:lineRule="exact"/>
        <w:ind w:firstLine="640" w:firstLineChars="200"/>
        <w:rPr>
          <w:rFonts w:hint="eastAsia" w:ascii="楷体_GB2312" w:hAnsi="Times New Roman" w:eastAsia="楷体_GB2312" w:cs="宋体"/>
          <w:color w:val="000000"/>
          <w:kern w:val="0"/>
          <w:sz w:val="32"/>
          <w:szCs w:val="32"/>
        </w:rPr>
      </w:pPr>
      <w:r>
        <w:rPr>
          <w:rFonts w:hint="eastAsia" w:ascii="楷体_GB2312" w:hAnsi="Times New Roman" w:eastAsia="楷体_GB2312" w:cs="宋体"/>
          <w:color w:val="000000"/>
          <w:kern w:val="0"/>
          <w:sz w:val="32"/>
          <w:szCs w:val="32"/>
        </w:rPr>
        <w:t>（一）鼓励企业落户</w:t>
      </w:r>
      <w:r>
        <w:rPr>
          <w:rFonts w:hint="eastAsia" w:ascii="楷体_GB2312" w:hAnsi="Times New Roman" w:eastAsia="楷体_GB2312" w:cs="宋体"/>
          <w:color w:val="000000"/>
          <w:kern w:val="0"/>
          <w:sz w:val="32"/>
          <w:szCs w:val="32"/>
          <w:lang w:val="en-US" w:eastAsia="zh-CN"/>
        </w:rPr>
        <w:t>发展</w:t>
      </w:r>
    </w:p>
    <w:p>
      <w:pPr>
        <w:snapToGrid w:val="0"/>
        <w:spacing w:line="600" w:lineRule="exact"/>
        <w:ind w:firstLine="640" w:firstLineChars="200"/>
        <w:rPr>
          <w:rFonts w:ascii="Times New Roman" w:hAnsi="Times New Roman" w:eastAsia="仿宋_GB2312" w:cs="宋体"/>
          <w:color w:val="000000"/>
          <w:kern w:val="0"/>
          <w:sz w:val="32"/>
          <w:szCs w:val="32"/>
          <w:shd w:val="pct10" w:color="auto" w:fill="FFFFFF"/>
        </w:rPr>
      </w:pPr>
      <w:r>
        <w:rPr>
          <w:rFonts w:hint="eastAsia" w:ascii="仿宋_GB2312" w:hAnsi="仿宋_GB2312" w:eastAsia="仿宋_GB2312" w:cs="仿宋_GB2312"/>
          <w:color w:val="000000"/>
          <w:kern w:val="0"/>
          <w:sz w:val="32"/>
          <w:szCs w:val="32"/>
        </w:rPr>
        <w:t>对</w:t>
      </w:r>
      <w:r>
        <w:rPr>
          <w:rFonts w:hint="eastAsia" w:ascii="仿宋_GB2312" w:hAnsi="仿宋_GB2312" w:eastAsia="仿宋_GB2312" w:cs="仿宋_GB2312"/>
          <w:color w:val="000000"/>
          <w:kern w:val="0"/>
          <w:sz w:val="32"/>
          <w:szCs w:val="32"/>
          <w:lang w:eastAsia="zh-CN"/>
        </w:rPr>
        <w:t>新</w:t>
      </w:r>
      <w:r>
        <w:rPr>
          <w:rFonts w:hint="eastAsia" w:ascii="仿宋_GB2312" w:hAnsi="仿宋_GB2312" w:eastAsia="仿宋_GB2312" w:cs="仿宋_GB2312"/>
          <w:color w:val="000000"/>
          <w:kern w:val="0"/>
          <w:sz w:val="32"/>
          <w:szCs w:val="32"/>
          <w:lang w:val="en-US" w:eastAsia="zh-CN"/>
        </w:rPr>
        <w:t>入区</w:t>
      </w:r>
      <w:r>
        <w:rPr>
          <w:rFonts w:hint="eastAsia" w:ascii="仿宋_GB2312" w:hAnsi="仿宋_GB2312" w:eastAsia="仿宋_GB2312" w:cs="仿宋_GB2312"/>
          <w:color w:val="000000"/>
          <w:kern w:val="0"/>
          <w:sz w:val="32"/>
          <w:szCs w:val="32"/>
          <w:lang w:eastAsia="zh-CN"/>
        </w:rPr>
        <w:t>注册资本金人民币</w:t>
      </w:r>
      <w:r>
        <w:rPr>
          <w:rFonts w:hint="eastAsia" w:ascii="仿宋_GB2312" w:hAnsi="仿宋_GB2312" w:eastAsia="仿宋_GB2312" w:cs="仿宋_GB2312"/>
          <w:color w:val="000000"/>
          <w:kern w:val="0"/>
          <w:sz w:val="32"/>
          <w:szCs w:val="32"/>
          <w:lang w:val="en-US" w:eastAsia="zh-CN"/>
        </w:rPr>
        <w:t>5000万元以上且入区三年内年营业收入达到3亿元（含）以上的高新视听、游戏电竞企业，给予当年营业收入0.3%的资金奖励，最高不超过200万元</w:t>
      </w:r>
      <w:r>
        <w:rPr>
          <w:rFonts w:hint="eastAsia" w:ascii="仿宋_GB2312" w:hAnsi="仿宋_GB2312" w:eastAsia="仿宋_GB2312" w:cs="仿宋_GB2312"/>
          <w:color w:val="000000"/>
          <w:kern w:val="0"/>
          <w:sz w:val="32"/>
          <w:szCs w:val="32"/>
        </w:rPr>
        <w:t>。</w:t>
      </w:r>
    </w:p>
    <w:p>
      <w:pPr>
        <w:numPr>
          <w:ilvl w:val="0"/>
          <w:numId w:val="0"/>
        </w:numPr>
        <w:snapToGrid w:val="0"/>
        <w:spacing w:line="600" w:lineRule="exact"/>
        <w:ind w:firstLine="640" w:firstLineChars="200"/>
        <w:rPr>
          <w:rFonts w:hint="eastAsia" w:ascii="仿宋_GB2312" w:hAnsi="仿宋_GB2312" w:eastAsia="仿宋_GB2312" w:cs="仿宋_GB2312"/>
          <w:color w:val="000000"/>
          <w:kern w:val="0"/>
          <w:sz w:val="32"/>
          <w:szCs w:val="32"/>
        </w:rPr>
      </w:pPr>
      <w:r>
        <w:rPr>
          <w:rFonts w:hint="eastAsia" w:ascii="楷体_GB2312" w:hAnsi="Times New Roman" w:eastAsia="楷体_GB2312" w:cs="宋体"/>
          <w:color w:val="000000"/>
          <w:kern w:val="0"/>
          <w:sz w:val="32"/>
          <w:szCs w:val="32"/>
          <w:lang w:val="en-US" w:eastAsia="zh-CN"/>
        </w:rPr>
        <w:t>（二）鼓励企业入园发展</w:t>
      </w:r>
    </w:p>
    <w:p>
      <w:pPr>
        <w:numPr>
          <w:ilvl w:val="0"/>
          <w:numId w:val="0"/>
        </w:numPr>
        <w:snapToGrid w:val="0"/>
        <w:spacing w:line="60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对</w:t>
      </w:r>
      <w:r>
        <w:rPr>
          <w:rFonts w:hint="eastAsia" w:ascii="仿宋_GB2312" w:hAnsi="仿宋_GB2312" w:eastAsia="仿宋_GB2312" w:cs="仿宋_GB2312"/>
          <w:color w:val="000000"/>
          <w:kern w:val="0"/>
          <w:sz w:val="32"/>
          <w:szCs w:val="32"/>
          <w:lang w:eastAsia="zh-CN"/>
        </w:rPr>
        <w:t>经批准</w:t>
      </w:r>
      <w:r>
        <w:rPr>
          <w:rFonts w:hint="eastAsia" w:ascii="仿宋_GB2312" w:hAnsi="仿宋_GB2312" w:eastAsia="仿宋_GB2312" w:cs="仿宋_GB2312"/>
          <w:color w:val="000000"/>
          <w:kern w:val="0"/>
          <w:sz w:val="32"/>
          <w:szCs w:val="32"/>
        </w:rPr>
        <w:t>入驻中国（北京）高新视听产业园、北京智慧融媒创新中心、北京智慧电竞赛事中心</w:t>
      </w:r>
      <w:r>
        <w:rPr>
          <w:rFonts w:hint="eastAsia" w:ascii="仿宋_GB2312" w:hAnsi="仿宋_GB2312" w:eastAsia="仿宋_GB2312" w:cs="仿宋_GB2312"/>
          <w:color w:val="000000"/>
          <w:kern w:val="0"/>
          <w:sz w:val="32"/>
          <w:szCs w:val="32"/>
          <w:lang w:eastAsia="zh-CN"/>
        </w:rPr>
        <w:t>，</w:t>
      </w:r>
      <w:r>
        <w:rPr>
          <w:rFonts w:hint="eastAsia" w:ascii="仿宋_GB2312" w:hAnsi="仿宋_GB2312" w:eastAsia="仿宋_GB2312" w:cs="仿宋_GB2312"/>
          <w:color w:val="000000"/>
          <w:kern w:val="0"/>
          <w:sz w:val="32"/>
          <w:szCs w:val="32"/>
        </w:rPr>
        <w:t>且租赁合同期为5年（含）以上的企业，按照不高于所支付年租金的50%给予补贴，补贴单价不超过1.5元/天/平方米，每家企业政策期内获得的支持不超过三年，其中年</w:t>
      </w:r>
      <w:r>
        <w:rPr>
          <w:rFonts w:hint="eastAsia" w:ascii="仿宋_GB2312" w:hAnsi="仿宋_GB2312" w:eastAsia="仿宋_GB2312" w:cs="仿宋_GB2312"/>
          <w:color w:val="000000"/>
          <w:kern w:val="0"/>
          <w:sz w:val="32"/>
          <w:szCs w:val="32"/>
          <w:lang w:val="en-US" w:eastAsia="zh-CN"/>
        </w:rPr>
        <w:t>营业收入</w:t>
      </w:r>
      <w:r>
        <w:rPr>
          <w:rFonts w:hint="eastAsia" w:ascii="仿宋_GB2312" w:hAnsi="仿宋_GB2312" w:eastAsia="仿宋_GB2312" w:cs="仿宋_GB2312"/>
          <w:color w:val="000000"/>
          <w:kern w:val="0"/>
          <w:sz w:val="32"/>
          <w:szCs w:val="32"/>
        </w:rPr>
        <w:t>2000万元（含）以上的每年房租补贴面积不超过</w:t>
      </w:r>
      <w:r>
        <w:rPr>
          <w:rFonts w:hint="eastAsia" w:ascii="仿宋_GB2312" w:hAnsi="仿宋_GB2312" w:eastAsia="仿宋_GB2312" w:cs="仿宋_GB2312"/>
          <w:color w:val="000000"/>
          <w:kern w:val="0"/>
          <w:sz w:val="32"/>
          <w:szCs w:val="32"/>
          <w:lang w:val="en-US" w:eastAsia="zh-CN"/>
        </w:rPr>
        <w:t>3000</w:t>
      </w:r>
      <w:r>
        <w:rPr>
          <w:rFonts w:hint="eastAsia" w:ascii="仿宋_GB2312" w:hAnsi="仿宋_GB2312" w:eastAsia="仿宋_GB2312" w:cs="仿宋_GB2312"/>
          <w:color w:val="000000"/>
          <w:kern w:val="0"/>
          <w:sz w:val="32"/>
          <w:szCs w:val="32"/>
        </w:rPr>
        <w:t>平米，年营业收入低于2000万元的每年房租补贴面积不超过</w:t>
      </w:r>
      <w:r>
        <w:rPr>
          <w:rFonts w:hint="eastAsia" w:ascii="仿宋_GB2312" w:hAnsi="仿宋_GB2312" w:eastAsia="仿宋_GB2312" w:cs="仿宋_GB2312"/>
          <w:color w:val="000000"/>
          <w:kern w:val="0"/>
          <w:sz w:val="32"/>
          <w:szCs w:val="32"/>
          <w:lang w:val="en-US" w:eastAsia="zh-CN"/>
        </w:rPr>
        <w:t>500</w:t>
      </w:r>
      <w:r>
        <w:rPr>
          <w:rFonts w:hint="eastAsia" w:ascii="仿宋_GB2312" w:hAnsi="仿宋_GB2312" w:eastAsia="仿宋_GB2312" w:cs="仿宋_GB2312"/>
          <w:color w:val="000000"/>
          <w:kern w:val="0"/>
          <w:sz w:val="32"/>
          <w:szCs w:val="32"/>
        </w:rPr>
        <w:t>平米。每家企业补贴期限不超过3年。</w:t>
      </w:r>
    </w:p>
    <w:p>
      <w:pPr>
        <w:snapToGrid w:val="0"/>
        <w:spacing w:line="600" w:lineRule="exact"/>
        <w:ind w:firstLine="640" w:firstLineChars="200"/>
        <w:rPr>
          <w:rFonts w:hint="default" w:ascii="楷体_GB2312" w:hAnsi="楷体_GB2312" w:eastAsia="楷体_GB2312" w:cs="楷体_GB2312"/>
          <w:color w:val="000000"/>
          <w:kern w:val="0"/>
          <w:sz w:val="32"/>
          <w:szCs w:val="32"/>
          <w:lang w:val="en-US" w:eastAsia="zh-CN"/>
        </w:rPr>
      </w:pPr>
      <w:r>
        <w:rPr>
          <w:rFonts w:hint="eastAsia" w:ascii="楷体_GB2312" w:hAnsi="楷体_GB2312" w:eastAsia="楷体_GB2312" w:cs="楷体_GB2312"/>
          <w:color w:val="000000"/>
          <w:kern w:val="0"/>
          <w:sz w:val="32"/>
          <w:szCs w:val="32"/>
          <w:lang w:val="en-US" w:eastAsia="zh-CN"/>
        </w:rPr>
        <w:t>（三）鼓励电竞俱乐部落地发展</w:t>
      </w:r>
    </w:p>
    <w:p>
      <w:pPr>
        <w:snapToGrid w:val="0"/>
        <w:spacing w:line="600" w:lineRule="exact"/>
        <w:ind w:firstLine="640" w:firstLineChars="200"/>
        <w:rPr>
          <w:rFonts w:hint="default" w:ascii="黑体" w:hAnsi="黑体" w:eastAsia="黑体"/>
          <w:color w:val="000000"/>
          <w:sz w:val="32"/>
          <w:szCs w:val="32"/>
          <w:lang w:val="en-US"/>
        </w:rPr>
      </w:pPr>
      <w:r>
        <w:rPr>
          <w:rFonts w:hint="eastAsia" w:ascii="仿宋_GB2312" w:hAnsi="仿宋_GB2312" w:eastAsia="仿宋_GB2312" w:cs="仿宋_GB2312"/>
          <w:color w:val="000000"/>
          <w:kern w:val="0"/>
          <w:sz w:val="32"/>
          <w:szCs w:val="32"/>
          <w:lang w:val="en-US" w:eastAsia="zh-CN"/>
        </w:rPr>
        <w:t>电竞俱乐部在国际邀请赛、全球总决赛等国际同级别重大电竞赛事中取得冠、亚、季军的分别给予200万元、150万元、100万元资金奖励；在全国电子竞技大赛、职业联赛等国内同级别重大电竞赛事中取得冠、亚、季军的，分别给予100万元、80万元、50万元的资金奖励。同一俱乐部在单项赛事中获得多项赛事奖励的，按照从高不重复的原则给予支持。</w:t>
      </w:r>
    </w:p>
    <w:p>
      <w:pPr>
        <w:snapToGrid w:val="0"/>
        <w:spacing w:line="600" w:lineRule="exact"/>
        <w:ind w:firstLine="640" w:firstLineChars="200"/>
        <w:rPr>
          <w:rFonts w:ascii="黑体" w:hAnsi="黑体" w:eastAsia="黑体"/>
          <w:color w:val="000000"/>
          <w:sz w:val="32"/>
          <w:szCs w:val="32"/>
        </w:rPr>
      </w:pPr>
      <w:r>
        <w:rPr>
          <w:rFonts w:hint="eastAsia" w:ascii="黑体" w:hAnsi="黑体" w:eastAsia="黑体"/>
          <w:color w:val="000000"/>
          <w:sz w:val="32"/>
          <w:szCs w:val="32"/>
        </w:rPr>
        <w:t>三、支持创新融合发展</w:t>
      </w:r>
    </w:p>
    <w:p>
      <w:pPr>
        <w:pStyle w:val="8"/>
        <w:numPr>
          <w:ilvl w:val="0"/>
          <w:numId w:val="0"/>
        </w:numPr>
        <w:snapToGrid w:val="0"/>
        <w:spacing w:before="0" w:beforeAutospacing="0" w:after="0" w:afterAutospacing="0" w:line="600" w:lineRule="exact"/>
        <w:ind w:firstLine="640" w:firstLineChars="200"/>
        <w:jc w:val="both"/>
        <w:rPr>
          <w:rFonts w:hint="eastAsia" w:ascii="楷体_GB2312" w:hAnsi="Times New Roman" w:eastAsia="楷体_GB2312"/>
          <w:color w:val="000000"/>
          <w:szCs w:val="32"/>
        </w:rPr>
      </w:pPr>
      <w:r>
        <w:rPr>
          <w:rFonts w:hint="eastAsia" w:ascii="楷体_GB2312" w:hAnsi="Times New Roman" w:eastAsia="楷体_GB2312"/>
          <w:color w:val="000000"/>
          <w:szCs w:val="32"/>
          <w:lang w:eastAsia="zh-CN"/>
        </w:rPr>
        <w:t>（</w:t>
      </w:r>
      <w:r>
        <w:rPr>
          <w:rFonts w:hint="eastAsia" w:ascii="楷体_GB2312" w:hAnsi="Times New Roman" w:eastAsia="楷体_GB2312"/>
          <w:color w:val="000000"/>
          <w:szCs w:val="32"/>
          <w:lang w:val="en-US" w:eastAsia="zh-CN"/>
        </w:rPr>
        <w:t>四</w:t>
      </w:r>
      <w:r>
        <w:rPr>
          <w:rFonts w:hint="eastAsia" w:ascii="楷体_GB2312" w:hAnsi="Times New Roman" w:eastAsia="楷体_GB2312"/>
          <w:color w:val="000000"/>
          <w:szCs w:val="32"/>
          <w:lang w:eastAsia="zh-CN"/>
        </w:rPr>
        <w:t>）</w:t>
      </w:r>
      <w:r>
        <w:rPr>
          <w:rFonts w:hint="eastAsia" w:ascii="楷体_GB2312" w:hAnsi="Times New Roman" w:eastAsia="楷体_GB2312"/>
          <w:color w:val="000000"/>
          <w:szCs w:val="32"/>
        </w:rPr>
        <w:t>鼓励建设研发机构</w:t>
      </w:r>
    </w:p>
    <w:p>
      <w:pPr>
        <w:pStyle w:val="8"/>
        <w:numPr>
          <w:ilvl w:val="0"/>
          <w:numId w:val="0"/>
        </w:numPr>
        <w:snapToGrid w:val="0"/>
        <w:spacing w:before="0" w:beforeAutospacing="0" w:after="0" w:afterAutospacing="0" w:line="600" w:lineRule="exact"/>
        <w:ind w:firstLine="640" w:firstLineChars="200"/>
        <w:jc w:val="both"/>
        <w:rPr>
          <w:rFonts w:hint="eastAsia" w:ascii="仿宋_GB2312" w:hAnsi="仿宋_GB2312" w:eastAsia="仿宋_GB2312" w:cs="仿宋_GB2312"/>
          <w:color w:val="000000"/>
          <w:szCs w:val="32"/>
        </w:rPr>
      </w:pPr>
      <w:r>
        <w:rPr>
          <w:rFonts w:hint="eastAsia" w:ascii="仿宋_GB2312" w:hAnsi="仿宋_GB2312" w:eastAsia="仿宋_GB2312" w:cs="仿宋_GB2312"/>
          <w:color w:val="000000"/>
          <w:szCs w:val="32"/>
        </w:rPr>
        <w:t>对新获批或新引进国家级创新中心、国家级重点实验室、国家级工程研究中心等资质的一次性给予1000万元资金支持；新引进或新获批北京市级技术创新中心、科技研发机构、重点实验室、工程研究中心等资质的一次性给予100万元资金支持。</w:t>
      </w:r>
    </w:p>
    <w:p>
      <w:pPr>
        <w:pStyle w:val="8"/>
        <w:snapToGrid w:val="0"/>
        <w:spacing w:before="0" w:beforeAutospacing="0" w:after="0" w:afterAutospacing="0" w:line="600" w:lineRule="exact"/>
        <w:ind w:firstLine="640" w:firstLineChars="200"/>
        <w:jc w:val="both"/>
        <w:rPr>
          <w:rFonts w:hint="eastAsia" w:ascii="楷体_GB2312" w:hAnsi="Times New Roman" w:eastAsia="楷体_GB2312"/>
          <w:color w:val="000000"/>
          <w:szCs w:val="32"/>
        </w:rPr>
      </w:pPr>
      <w:r>
        <w:rPr>
          <w:rFonts w:hint="eastAsia" w:ascii="楷体_GB2312" w:hAnsi="Times New Roman" w:eastAsia="楷体_GB2312"/>
          <w:color w:val="000000"/>
          <w:szCs w:val="32"/>
        </w:rPr>
        <w:t>（</w:t>
      </w:r>
      <w:r>
        <w:rPr>
          <w:rFonts w:hint="eastAsia" w:ascii="楷体_GB2312" w:hAnsi="Times New Roman" w:eastAsia="楷体_GB2312"/>
          <w:color w:val="000000"/>
          <w:szCs w:val="32"/>
          <w:lang w:eastAsia="zh-CN"/>
        </w:rPr>
        <w:t>五</w:t>
      </w:r>
      <w:r>
        <w:rPr>
          <w:rFonts w:hint="eastAsia" w:ascii="楷体_GB2312" w:hAnsi="Times New Roman" w:eastAsia="楷体_GB2312"/>
          <w:color w:val="000000"/>
          <w:szCs w:val="32"/>
        </w:rPr>
        <w:t>）支持加强创新研发</w:t>
      </w:r>
    </w:p>
    <w:p>
      <w:pPr>
        <w:pStyle w:val="8"/>
        <w:snapToGrid w:val="0"/>
        <w:spacing w:before="0" w:beforeAutospacing="0" w:after="0" w:afterAutospacing="0" w:line="600" w:lineRule="exact"/>
        <w:ind w:firstLine="640" w:firstLineChars="200"/>
        <w:jc w:val="both"/>
        <w:rPr>
          <w:rFonts w:ascii="Times New Roman" w:hAnsi="Times New Roman"/>
          <w:color w:val="000000"/>
          <w:szCs w:val="32"/>
        </w:rPr>
      </w:pPr>
      <w:r>
        <w:rPr>
          <w:rFonts w:hint="eastAsia" w:ascii="仿宋_GB2312" w:hAnsi="仿宋_GB2312" w:eastAsia="仿宋_GB2312" w:cs="仿宋_GB2312"/>
          <w:color w:val="000000"/>
          <w:szCs w:val="32"/>
        </w:rPr>
        <w:t>对年度研发费用增长超过年度目标值的规上企业，按照高出部分的20%给予支持，支持金额最高为300万元。</w:t>
      </w:r>
    </w:p>
    <w:p>
      <w:pPr>
        <w:pStyle w:val="8"/>
        <w:numPr>
          <w:ilvl w:val="0"/>
          <w:numId w:val="0"/>
        </w:numPr>
        <w:shd w:val="clear" w:color="auto" w:fill="FFFFFF"/>
        <w:snapToGrid w:val="0"/>
        <w:spacing w:before="0" w:beforeAutospacing="0" w:after="0" w:afterAutospacing="0" w:line="600" w:lineRule="exact"/>
        <w:ind w:firstLine="640" w:firstLineChars="200"/>
        <w:jc w:val="both"/>
        <w:textAlignment w:val="baseline"/>
        <w:rPr>
          <w:rFonts w:hint="eastAsia" w:ascii="楷体_GB2312" w:hAnsi="Times New Roman" w:eastAsia="楷体_GB2312"/>
          <w:color w:val="000000"/>
          <w:szCs w:val="32"/>
        </w:rPr>
      </w:pPr>
      <w:r>
        <w:rPr>
          <w:rFonts w:hint="eastAsia" w:ascii="楷体_GB2312" w:hAnsi="Times New Roman" w:eastAsia="楷体_GB2312"/>
          <w:color w:val="000000"/>
          <w:szCs w:val="32"/>
          <w:lang w:eastAsia="zh-CN"/>
        </w:rPr>
        <w:t>（六）</w:t>
      </w:r>
      <w:r>
        <w:rPr>
          <w:rFonts w:hint="eastAsia" w:ascii="楷体_GB2312" w:hAnsi="Times New Roman" w:eastAsia="楷体_GB2312"/>
          <w:color w:val="000000"/>
          <w:szCs w:val="32"/>
        </w:rPr>
        <w:t>支持视听内容创作</w:t>
      </w:r>
    </w:p>
    <w:p>
      <w:pPr>
        <w:pStyle w:val="8"/>
        <w:numPr>
          <w:ilvl w:val="0"/>
          <w:numId w:val="0"/>
        </w:numPr>
        <w:shd w:val="clear" w:color="auto" w:fill="FFFFFF"/>
        <w:snapToGrid w:val="0"/>
        <w:spacing w:before="0" w:beforeAutospacing="0" w:after="0" w:afterAutospacing="0" w:line="600" w:lineRule="exact"/>
        <w:ind w:firstLine="640" w:firstLineChars="200"/>
        <w:jc w:val="both"/>
        <w:textAlignment w:val="baseline"/>
        <w:rPr>
          <w:rFonts w:hint="eastAsia" w:ascii="仿宋_GB2312" w:hAnsi="仿宋_GB2312" w:eastAsia="仿宋_GB2312" w:cs="仿宋_GB2312"/>
          <w:color w:val="000000"/>
          <w:szCs w:val="32"/>
        </w:rPr>
      </w:pPr>
      <w:r>
        <w:rPr>
          <w:rFonts w:hint="eastAsia" w:ascii="仿宋_GB2312" w:hAnsi="仿宋_GB2312" w:eastAsia="仿宋_GB2312" w:cs="仿宋_GB2312"/>
          <w:color w:val="000000"/>
          <w:szCs w:val="32"/>
        </w:rPr>
        <w:t>支持创作和出版弘扬主旋律的网络视听和数字文化产品，对于获得国家级奖项的作品，在奖项信息公示后，一次性给予获奖企业</w:t>
      </w:r>
      <w:r>
        <w:rPr>
          <w:rFonts w:hint="eastAsia" w:ascii="仿宋_GB2312" w:hAnsi="仿宋_GB2312" w:cs="仿宋_GB2312"/>
          <w:color w:val="000000"/>
          <w:szCs w:val="32"/>
          <w:lang w:val="en-US" w:eastAsia="zh-CN"/>
        </w:rPr>
        <w:t>50</w:t>
      </w:r>
      <w:r>
        <w:rPr>
          <w:rFonts w:hint="eastAsia" w:ascii="仿宋_GB2312" w:hAnsi="仿宋_GB2312" w:eastAsia="仿宋_GB2312" w:cs="仿宋_GB2312"/>
          <w:color w:val="000000"/>
          <w:szCs w:val="32"/>
        </w:rPr>
        <w:t>万元资金支持；对于获得北京市级奖项的作品，在奖项信息公示后，一次性给予获奖企业</w:t>
      </w:r>
      <w:r>
        <w:rPr>
          <w:rFonts w:hint="eastAsia" w:ascii="仿宋_GB2312" w:hAnsi="仿宋_GB2312" w:cs="仿宋_GB2312"/>
          <w:color w:val="000000"/>
          <w:szCs w:val="32"/>
          <w:lang w:val="en-US" w:eastAsia="zh-CN"/>
        </w:rPr>
        <w:t>20</w:t>
      </w:r>
      <w:r>
        <w:rPr>
          <w:rFonts w:hint="eastAsia" w:ascii="仿宋_GB2312" w:hAnsi="仿宋_GB2312" w:eastAsia="仿宋_GB2312" w:cs="仿宋_GB2312"/>
          <w:color w:val="000000"/>
          <w:szCs w:val="32"/>
        </w:rPr>
        <w:t>万元资金支持。</w:t>
      </w:r>
    </w:p>
    <w:p>
      <w:pPr>
        <w:pStyle w:val="8"/>
        <w:numPr>
          <w:ilvl w:val="0"/>
          <w:numId w:val="0"/>
        </w:numPr>
        <w:shd w:val="clear" w:color="auto" w:fill="FFFFFF"/>
        <w:snapToGrid w:val="0"/>
        <w:spacing w:before="0" w:beforeAutospacing="0" w:after="0" w:afterAutospacing="0" w:line="600" w:lineRule="exact"/>
        <w:ind w:firstLine="640" w:firstLineChars="200"/>
        <w:jc w:val="both"/>
        <w:textAlignment w:val="baseline"/>
        <w:rPr>
          <w:rFonts w:hint="eastAsia" w:ascii="楷体_GB2312" w:hAnsi="Times New Roman" w:eastAsia="楷体_GB2312"/>
          <w:color w:val="000000"/>
          <w:szCs w:val="32"/>
          <w:lang w:val="en-US" w:eastAsia="zh-CN"/>
        </w:rPr>
      </w:pPr>
      <w:r>
        <w:rPr>
          <w:rFonts w:hint="eastAsia" w:ascii="楷体_GB2312" w:hAnsi="Times New Roman" w:eastAsia="楷体_GB2312"/>
          <w:color w:val="000000"/>
          <w:szCs w:val="32"/>
          <w:lang w:eastAsia="zh-CN"/>
        </w:rPr>
        <w:t>（七）</w:t>
      </w:r>
      <w:r>
        <w:rPr>
          <w:rFonts w:hint="eastAsia" w:ascii="楷体_GB2312" w:hAnsi="Times New Roman" w:eastAsia="楷体_GB2312"/>
          <w:color w:val="000000"/>
          <w:szCs w:val="32"/>
        </w:rPr>
        <w:t>支持网络游戏</w:t>
      </w:r>
      <w:r>
        <w:rPr>
          <w:rFonts w:hint="eastAsia" w:ascii="楷体_GB2312" w:hAnsi="Times New Roman" w:eastAsia="楷体_GB2312"/>
          <w:color w:val="000000"/>
          <w:szCs w:val="32"/>
          <w:lang w:val="en-US" w:eastAsia="zh-CN"/>
        </w:rPr>
        <w:t>开发</w:t>
      </w:r>
    </w:p>
    <w:p>
      <w:pPr>
        <w:pStyle w:val="8"/>
        <w:numPr>
          <w:ilvl w:val="0"/>
          <w:numId w:val="0"/>
        </w:numPr>
        <w:shd w:val="clear" w:color="auto" w:fill="FFFFFF"/>
        <w:snapToGrid w:val="0"/>
        <w:spacing w:before="0" w:beforeAutospacing="0" w:after="0" w:afterAutospacing="0" w:line="600" w:lineRule="exact"/>
        <w:ind w:firstLine="640" w:firstLineChars="200"/>
        <w:jc w:val="both"/>
        <w:textAlignment w:val="baseline"/>
        <w:rPr>
          <w:rFonts w:hint="eastAsia" w:ascii="仿宋_GB2312" w:hAnsi="仿宋_GB2312" w:eastAsia="仿宋_GB2312" w:cs="仿宋_GB2312"/>
          <w:color w:val="000000"/>
          <w:szCs w:val="32"/>
        </w:rPr>
      </w:pPr>
      <w:r>
        <w:rPr>
          <w:rFonts w:hint="eastAsia" w:ascii="仿宋_GB2312" w:hAnsi="仿宋_GB2312" w:eastAsia="仿宋_GB2312" w:cs="仿宋_GB2312"/>
          <w:color w:val="000000"/>
          <w:szCs w:val="32"/>
        </w:rPr>
        <w:t>对于完成出版和运营备案，拥有自主知识产权，销售收入累计达2亿元以上的网络游戏产品，按照</w:t>
      </w:r>
      <w:r>
        <w:rPr>
          <w:rFonts w:hint="eastAsia" w:ascii="仿宋_GB2312" w:hAnsi="仿宋_GB2312" w:cs="仿宋_GB2312"/>
          <w:color w:val="000000"/>
          <w:szCs w:val="32"/>
          <w:lang w:val="en-US" w:eastAsia="zh-CN"/>
        </w:rPr>
        <w:t>软件开发</w:t>
      </w:r>
      <w:r>
        <w:rPr>
          <w:rFonts w:hint="eastAsia" w:ascii="仿宋_GB2312" w:hAnsi="仿宋_GB2312" w:eastAsia="仿宋_GB2312" w:cs="仿宋_GB2312"/>
          <w:color w:val="000000"/>
          <w:szCs w:val="32"/>
        </w:rPr>
        <w:t>投资额的30%给予一次性支持，支持金额不超过500万元人民币；对于被选为重大电竞赛事游戏的，原则上支持金额不超过1000万元人民币。</w:t>
      </w:r>
    </w:p>
    <w:p>
      <w:pPr>
        <w:pStyle w:val="8"/>
        <w:numPr>
          <w:ilvl w:val="0"/>
          <w:numId w:val="0"/>
        </w:numPr>
        <w:snapToGrid w:val="0"/>
        <w:spacing w:before="0" w:beforeAutospacing="0" w:after="0" w:afterAutospacing="0" w:line="600" w:lineRule="exact"/>
        <w:ind w:firstLine="640" w:firstLineChars="200"/>
        <w:jc w:val="both"/>
        <w:rPr>
          <w:rFonts w:hint="eastAsia" w:ascii="楷体_GB2312" w:hAnsi="Times New Roman" w:eastAsia="楷体_GB2312"/>
          <w:color w:val="000000"/>
          <w:szCs w:val="32"/>
        </w:rPr>
      </w:pPr>
      <w:r>
        <w:rPr>
          <w:rFonts w:hint="eastAsia" w:ascii="楷体_GB2312" w:hAnsi="Times New Roman" w:eastAsia="楷体_GB2312"/>
          <w:color w:val="000000"/>
          <w:szCs w:val="32"/>
          <w:lang w:eastAsia="zh-CN"/>
        </w:rPr>
        <w:t>（八）</w:t>
      </w:r>
      <w:r>
        <w:rPr>
          <w:rFonts w:hint="eastAsia" w:ascii="楷体_GB2312" w:hAnsi="Times New Roman" w:eastAsia="楷体_GB2312"/>
          <w:color w:val="000000"/>
          <w:szCs w:val="32"/>
        </w:rPr>
        <w:t>支持企业创新创业</w:t>
      </w:r>
    </w:p>
    <w:p>
      <w:pPr>
        <w:pStyle w:val="8"/>
        <w:numPr>
          <w:ilvl w:val="0"/>
          <w:numId w:val="0"/>
        </w:numPr>
        <w:snapToGrid w:val="0"/>
        <w:spacing w:before="0" w:beforeAutospacing="0" w:after="0" w:afterAutospacing="0" w:line="600" w:lineRule="exact"/>
        <w:ind w:firstLine="640" w:firstLineChars="200"/>
        <w:jc w:val="both"/>
        <w:rPr>
          <w:rFonts w:ascii="Times New Roman" w:hAnsi="Times New Roman"/>
          <w:color w:val="000000"/>
          <w:szCs w:val="32"/>
        </w:rPr>
      </w:pPr>
      <w:r>
        <w:rPr>
          <w:rFonts w:hint="eastAsia" w:ascii="仿宋_GB2312" w:hAnsi="仿宋_GB2312" w:eastAsia="仿宋_GB2312" w:cs="仿宋_GB2312"/>
          <w:color w:val="000000"/>
          <w:szCs w:val="32"/>
        </w:rPr>
        <w:t>对于在HICOOL全球创业大赛、“创客中国”创新创业大赛、“创客北京”创新创业大赛、中关村国际前沿科技创新大赛、北京文化创意大赛获奖，且在获奖后一个年度内获得股权融资超过200万元（合规机构投资者的实缴额）的企业，一次性给予资金支持20万元。</w:t>
      </w:r>
    </w:p>
    <w:p>
      <w:pPr>
        <w:snapToGrid w:val="0"/>
        <w:spacing w:line="600" w:lineRule="exact"/>
        <w:ind w:firstLine="640" w:firstLineChars="200"/>
        <w:rPr>
          <w:rFonts w:ascii="黑体" w:hAnsi="黑体" w:eastAsia="黑体"/>
          <w:color w:val="000000"/>
          <w:sz w:val="32"/>
          <w:szCs w:val="32"/>
        </w:rPr>
      </w:pPr>
      <w:r>
        <w:rPr>
          <w:rFonts w:hint="eastAsia" w:ascii="黑体" w:hAnsi="黑体" w:eastAsia="黑体"/>
          <w:color w:val="000000"/>
          <w:sz w:val="32"/>
          <w:szCs w:val="32"/>
        </w:rPr>
        <w:t>四、促进产业生态打造</w:t>
      </w:r>
    </w:p>
    <w:p>
      <w:pPr>
        <w:pStyle w:val="8"/>
        <w:shd w:val="clear" w:color="auto" w:fill="FFFFFF"/>
        <w:snapToGrid w:val="0"/>
        <w:spacing w:before="0" w:beforeAutospacing="0" w:after="0" w:afterAutospacing="0" w:line="600" w:lineRule="exact"/>
        <w:ind w:firstLine="640" w:firstLineChars="200"/>
        <w:jc w:val="both"/>
        <w:textAlignment w:val="baseline"/>
        <w:rPr>
          <w:rFonts w:hint="eastAsia" w:ascii="楷体_GB2312" w:hAnsi="Times New Roman" w:eastAsia="楷体_GB2312"/>
          <w:color w:val="000000"/>
          <w:szCs w:val="32"/>
          <w:lang w:val="en-US" w:eastAsia="zh-CN"/>
        </w:rPr>
      </w:pPr>
      <w:r>
        <w:rPr>
          <w:rFonts w:hint="eastAsia" w:ascii="楷体_GB2312" w:hAnsi="Times New Roman" w:eastAsia="楷体_GB2312"/>
          <w:color w:val="000000"/>
          <w:szCs w:val="32"/>
          <w:lang w:eastAsia="zh-CN"/>
        </w:rPr>
        <w:t>（九）</w:t>
      </w:r>
      <w:r>
        <w:rPr>
          <w:rFonts w:hint="eastAsia" w:ascii="楷体_GB2312" w:hAnsi="Times New Roman" w:eastAsia="楷体_GB2312"/>
          <w:color w:val="000000"/>
          <w:szCs w:val="32"/>
          <w:lang w:val="en-US" w:eastAsia="zh-CN"/>
        </w:rPr>
        <w:t>完善产业发展载体</w:t>
      </w:r>
    </w:p>
    <w:p>
      <w:pPr>
        <w:pStyle w:val="8"/>
        <w:shd w:val="clear" w:color="auto" w:fill="FFFFFF"/>
        <w:snapToGrid w:val="0"/>
        <w:spacing w:before="0" w:beforeAutospacing="0" w:after="0" w:afterAutospacing="0" w:line="600" w:lineRule="exact"/>
        <w:ind w:firstLine="640" w:firstLineChars="200"/>
        <w:jc w:val="both"/>
        <w:textAlignment w:val="baseline"/>
        <w:rPr>
          <w:rFonts w:hint="eastAsia" w:ascii="仿宋_GB2312" w:hAnsi="仿宋_GB2312" w:eastAsia="仿宋_GB2312" w:cs="仿宋_GB2312"/>
          <w:szCs w:val="32"/>
          <w:lang w:val="en-US" w:eastAsia="zh-CN"/>
        </w:rPr>
      </w:pPr>
      <w:r>
        <w:rPr>
          <w:rFonts w:hint="eastAsia" w:ascii="仿宋_GB2312" w:hAnsi="仿宋_GB2312" w:eastAsia="仿宋_GB2312" w:cs="仿宋_GB2312"/>
          <w:szCs w:val="32"/>
          <w:lang w:val="en-US" w:eastAsia="zh-CN"/>
        </w:rPr>
        <w:t>鼓励建设专业电竞场馆</w:t>
      </w:r>
      <w:r>
        <w:rPr>
          <w:rFonts w:hint="eastAsia" w:ascii="仿宋_GB2312" w:hAnsi="仿宋_GB2312" w:cs="仿宋_GB2312"/>
          <w:szCs w:val="32"/>
          <w:lang w:val="en-US" w:eastAsia="zh-CN"/>
        </w:rPr>
        <w:t>。</w:t>
      </w:r>
      <w:r>
        <w:rPr>
          <w:rFonts w:hint="eastAsia" w:ascii="仿宋_GB2312" w:hAnsi="仿宋_GB2312" w:eastAsia="仿宋_GB2312" w:cs="仿宋_GB2312"/>
          <w:szCs w:val="32"/>
          <w:lang w:val="en-US" w:eastAsia="zh-CN"/>
        </w:rPr>
        <w:t>加快建设符合国际性赛事标准的大型电竞赛事专业场馆，鼓励利用现有场馆、闲置空间等改扩建中小型电竞场馆，对经认定符合条件的新建、改建的电竞场馆，给予不超过实际投入30%、最高1000万元的一次性资金支持。</w:t>
      </w:r>
    </w:p>
    <w:p>
      <w:pPr>
        <w:pStyle w:val="8"/>
        <w:shd w:val="clear" w:color="auto" w:fill="FFFFFF"/>
        <w:snapToGrid w:val="0"/>
        <w:spacing w:before="0" w:beforeAutospacing="0" w:after="0" w:afterAutospacing="0" w:line="600" w:lineRule="exact"/>
        <w:ind w:firstLine="640" w:firstLineChars="200"/>
        <w:jc w:val="both"/>
        <w:textAlignment w:val="baseline"/>
        <w:rPr>
          <w:rFonts w:hint="eastAsia" w:ascii="楷体_GB2312" w:hAnsi="Times New Roman" w:eastAsia="楷体_GB2312"/>
          <w:color w:val="000000"/>
          <w:szCs w:val="32"/>
        </w:rPr>
      </w:pPr>
      <w:r>
        <w:rPr>
          <w:rFonts w:hint="eastAsia" w:ascii="仿宋_GB2312" w:hAnsi="仿宋_GB2312" w:eastAsia="仿宋_GB2312" w:cs="仿宋_GB2312"/>
          <w:szCs w:val="32"/>
          <w:lang w:val="en-US" w:eastAsia="zh-CN"/>
        </w:rPr>
        <w:t>鼓励建设专业虚拟摄影棚。对</w:t>
      </w:r>
      <w:r>
        <w:rPr>
          <w:rFonts w:hint="eastAsia" w:ascii="仿宋_GB2312" w:hAnsi="仿宋_GB2312" w:cs="仿宋_GB2312"/>
          <w:szCs w:val="32"/>
          <w:lang w:val="en-US" w:eastAsia="zh-CN"/>
        </w:rPr>
        <w:t>建设标准达到国内领先水平、经认定的</w:t>
      </w:r>
      <w:r>
        <w:rPr>
          <w:rFonts w:hint="eastAsia" w:ascii="仿宋_GB2312" w:hAnsi="仿宋_GB2312" w:eastAsia="仿宋_GB2312" w:cs="仿宋_GB2312"/>
          <w:szCs w:val="32"/>
          <w:lang w:val="en-US" w:eastAsia="zh-CN"/>
        </w:rPr>
        <w:t>虚拟摄影棚，给予不超过实际投入30%、最高1000万元的一次性资金支持。</w:t>
      </w:r>
    </w:p>
    <w:p>
      <w:pPr>
        <w:pStyle w:val="8"/>
        <w:numPr>
          <w:ilvl w:val="0"/>
          <w:numId w:val="0"/>
        </w:numPr>
        <w:shd w:val="clear" w:color="auto" w:fill="FFFFFF"/>
        <w:snapToGrid w:val="0"/>
        <w:spacing w:before="0" w:beforeAutospacing="0" w:after="0" w:afterAutospacing="0" w:line="600" w:lineRule="exact"/>
        <w:ind w:firstLine="640" w:firstLineChars="200"/>
        <w:jc w:val="both"/>
        <w:textAlignment w:val="baseline"/>
        <w:rPr>
          <w:rFonts w:hint="eastAsia" w:ascii="楷体_GB2312" w:hAnsi="Times New Roman" w:eastAsia="楷体_GB2312"/>
          <w:color w:val="000000"/>
          <w:szCs w:val="32"/>
        </w:rPr>
      </w:pPr>
      <w:r>
        <w:rPr>
          <w:rFonts w:hint="eastAsia" w:ascii="楷体_GB2312" w:hAnsi="Times New Roman" w:eastAsia="楷体_GB2312"/>
          <w:color w:val="000000"/>
          <w:szCs w:val="32"/>
          <w:lang w:eastAsia="zh-CN"/>
        </w:rPr>
        <w:t>（十）</w:t>
      </w:r>
      <w:r>
        <w:rPr>
          <w:rFonts w:hint="eastAsia" w:ascii="楷体_GB2312" w:hAnsi="Times New Roman" w:eastAsia="楷体_GB2312"/>
          <w:color w:val="000000"/>
          <w:szCs w:val="32"/>
        </w:rPr>
        <w:t>支持产业</w:t>
      </w:r>
      <w:r>
        <w:rPr>
          <w:rFonts w:hint="eastAsia" w:ascii="楷体_GB2312" w:hAnsi="Times New Roman" w:eastAsia="楷体_GB2312"/>
          <w:color w:val="000000"/>
          <w:szCs w:val="32"/>
          <w:lang w:val="en-US" w:eastAsia="zh-CN"/>
        </w:rPr>
        <w:t>园区</w:t>
      </w:r>
      <w:r>
        <w:rPr>
          <w:rFonts w:hint="eastAsia" w:ascii="楷体_GB2312" w:hAnsi="Times New Roman" w:eastAsia="楷体_GB2312"/>
          <w:color w:val="000000"/>
          <w:szCs w:val="32"/>
        </w:rPr>
        <w:t>升级</w:t>
      </w:r>
    </w:p>
    <w:p>
      <w:pPr>
        <w:pStyle w:val="8"/>
        <w:numPr>
          <w:ilvl w:val="0"/>
          <w:numId w:val="0"/>
        </w:numPr>
        <w:shd w:val="clear" w:color="auto" w:fill="FFFFFF"/>
        <w:snapToGrid w:val="0"/>
        <w:spacing w:before="0" w:beforeAutospacing="0" w:after="0" w:afterAutospacing="0" w:line="600" w:lineRule="exact"/>
        <w:ind w:firstLine="640" w:firstLineChars="200"/>
        <w:jc w:val="both"/>
        <w:textAlignment w:val="baseline"/>
        <w:rPr>
          <w:rFonts w:ascii="Times New Roman" w:hAnsi="Times New Roman"/>
          <w:color w:val="000000"/>
          <w:szCs w:val="32"/>
        </w:rPr>
      </w:pPr>
      <w:r>
        <w:rPr>
          <w:rFonts w:hint="eastAsia" w:ascii="仿宋_GB2312" w:hAnsi="仿宋_GB2312" w:eastAsia="仿宋_GB2312" w:cs="仿宋_GB2312"/>
          <w:color w:val="000000"/>
          <w:szCs w:val="32"/>
        </w:rPr>
        <w:t>对获得高新视听、游戏电竞、元宇宙、文化创意等科文融合领域相关的国家、北京市级产业园区（基地）荣誉资质的，分别一次性给予运营单位100万元、50万元资金支持。</w:t>
      </w:r>
    </w:p>
    <w:p>
      <w:pPr>
        <w:numPr>
          <w:ilvl w:val="0"/>
          <w:numId w:val="0"/>
        </w:numPr>
        <w:snapToGrid w:val="0"/>
        <w:spacing w:line="600" w:lineRule="exact"/>
        <w:ind w:leftChars="200"/>
        <w:rPr>
          <w:rFonts w:hint="eastAsia" w:ascii="楷体_GB2312" w:hAnsi="Times New Roman" w:eastAsia="楷体_GB2312" w:cs="宋体"/>
          <w:color w:val="000000"/>
          <w:kern w:val="0"/>
          <w:sz w:val="32"/>
          <w:szCs w:val="32"/>
        </w:rPr>
      </w:pPr>
      <w:r>
        <w:rPr>
          <w:rFonts w:hint="eastAsia" w:ascii="楷体_GB2312" w:hAnsi="Times New Roman" w:eastAsia="楷体_GB2312" w:cs="宋体"/>
          <w:color w:val="000000"/>
          <w:kern w:val="0"/>
          <w:sz w:val="32"/>
          <w:szCs w:val="32"/>
          <w:lang w:eastAsia="zh-CN"/>
        </w:rPr>
        <w:t>（十一）</w:t>
      </w:r>
      <w:r>
        <w:rPr>
          <w:rFonts w:hint="eastAsia" w:ascii="楷体_GB2312" w:hAnsi="Times New Roman" w:eastAsia="楷体_GB2312" w:cs="宋体"/>
          <w:color w:val="000000"/>
          <w:kern w:val="0"/>
          <w:sz w:val="32"/>
          <w:szCs w:val="32"/>
        </w:rPr>
        <w:t>支持建设服务平台</w:t>
      </w:r>
    </w:p>
    <w:p>
      <w:pPr>
        <w:numPr>
          <w:ilvl w:val="0"/>
          <w:numId w:val="0"/>
        </w:numPr>
        <w:snapToGrid w:val="0"/>
        <w:spacing w:line="600" w:lineRule="exact"/>
        <w:ind w:firstLine="640" w:firstLineChars="200"/>
        <w:rPr>
          <w:rFonts w:ascii="宋体" w:hAnsi="宋体" w:eastAsia="宋体" w:cs="宋体"/>
          <w:b/>
          <w:bCs/>
          <w:color w:val="1F4E79"/>
          <w:kern w:val="0"/>
          <w:sz w:val="28"/>
          <w:szCs w:val="28"/>
          <w:highlight w:val="lightGray"/>
        </w:rPr>
      </w:pPr>
      <w:r>
        <w:rPr>
          <w:rFonts w:hint="eastAsia" w:ascii="仿宋_GB2312" w:hAnsi="仿宋_GB2312" w:eastAsia="仿宋_GB2312" w:cs="仿宋_GB2312"/>
          <w:color w:val="000000"/>
          <w:kern w:val="0"/>
          <w:sz w:val="32"/>
          <w:szCs w:val="32"/>
        </w:rPr>
        <w:t>对</w:t>
      </w:r>
      <w:r>
        <w:rPr>
          <w:rFonts w:hint="eastAsia" w:ascii="仿宋_GB2312" w:hAnsi="仿宋_GB2312" w:eastAsia="仿宋_GB2312" w:cs="仿宋_GB2312"/>
          <w:color w:val="000000"/>
          <w:kern w:val="0"/>
          <w:sz w:val="32"/>
          <w:szCs w:val="32"/>
          <w:lang w:eastAsia="zh-CN"/>
        </w:rPr>
        <w:t>于经认定的科文融合领域国家级、</w:t>
      </w:r>
      <w:r>
        <w:rPr>
          <w:rFonts w:hint="eastAsia" w:ascii="仿宋_GB2312" w:hAnsi="仿宋_GB2312" w:eastAsia="仿宋_GB2312" w:cs="仿宋_GB2312"/>
          <w:color w:val="000000"/>
          <w:kern w:val="0"/>
          <w:sz w:val="32"/>
          <w:szCs w:val="32"/>
        </w:rPr>
        <w:t>市</w:t>
      </w:r>
      <w:r>
        <w:rPr>
          <w:rFonts w:hint="eastAsia" w:ascii="仿宋_GB2312" w:hAnsi="仿宋_GB2312" w:eastAsia="仿宋_GB2312" w:cs="仿宋_GB2312"/>
          <w:color w:val="000000"/>
          <w:kern w:val="0"/>
          <w:sz w:val="32"/>
          <w:szCs w:val="32"/>
          <w:lang w:eastAsia="zh-CN"/>
        </w:rPr>
        <w:t>级、区级</w:t>
      </w:r>
      <w:r>
        <w:rPr>
          <w:rFonts w:hint="eastAsia" w:ascii="仿宋_GB2312" w:hAnsi="仿宋_GB2312" w:eastAsia="仿宋_GB2312" w:cs="仿宋_GB2312"/>
          <w:color w:val="000000"/>
          <w:kern w:val="0"/>
          <w:sz w:val="32"/>
          <w:szCs w:val="32"/>
        </w:rPr>
        <w:t>公共服务平台，给予平台运营单位实际投资总额10%的一次性补贴支持，补贴金额</w:t>
      </w:r>
      <w:r>
        <w:rPr>
          <w:rFonts w:hint="eastAsia" w:ascii="仿宋_GB2312" w:hAnsi="仿宋_GB2312" w:eastAsia="仿宋_GB2312" w:cs="仿宋_GB2312"/>
          <w:color w:val="000000"/>
          <w:kern w:val="0"/>
          <w:sz w:val="32"/>
          <w:szCs w:val="32"/>
          <w:lang w:eastAsia="zh-CN"/>
        </w:rPr>
        <w:t>分别</w:t>
      </w:r>
      <w:r>
        <w:rPr>
          <w:rFonts w:hint="eastAsia" w:ascii="仿宋_GB2312" w:hAnsi="仿宋_GB2312" w:eastAsia="仿宋_GB2312" w:cs="仿宋_GB2312"/>
          <w:color w:val="000000"/>
          <w:kern w:val="0"/>
          <w:sz w:val="32"/>
          <w:szCs w:val="32"/>
        </w:rPr>
        <w:t>不超过200万</w:t>
      </w:r>
      <w:r>
        <w:rPr>
          <w:rFonts w:hint="eastAsia" w:ascii="仿宋_GB2312" w:hAnsi="仿宋_GB2312" w:eastAsia="仿宋_GB2312" w:cs="仿宋_GB2312"/>
          <w:color w:val="000000"/>
          <w:kern w:val="0"/>
          <w:sz w:val="32"/>
          <w:szCs w:val="32"/>
          <w:lang w:eastAsia="zh-CN"/>
        </w:rPr>
        <w:t>元、</w:t>
      </w:r>
      <w:r>
        <w:rPr>
          <w:rFonts w:hint="eastAsia" w:ascii="仿宋_GB2312" w:hAnsi="仿宋_GB2312" w:eastAsia="仿宋_GB2312" w:cs="仿宋_GB2312"/>
          <w:color w:val="000000"/>
          <w:kern w:val="0"/>
          <w:sz w:val="32"/>
          <w:szCs w:val="32"/>
          <w:lang w:val="en-US" w:eastAsia="zh-CN"/>
        </w:rPr>
        <w:t>100万元、50万元</w:t>
      </w:r>
      <w:r>
        <w:rPr>
          <w:rFonts w:hint="eastAsia" w:ascii="仿宋_GB2312" w:hAnsi="仿宋_GB2312" w:eastAsia="仿宋_GB2312" w:cs="仿宋_GB2312"/>
          <w:color w:val="000000"/>
          <w:kern w:val="0"/>
          <w:sz w:val="32"/>
          <w:szCs w:val="32"/>
        </w:rPr>
        <w:t>。对于特别重大平台项目的落地，按</w:t>
      </w:r>
      <w:r>
        <w:rPr>
          <w:rFonts w:hint="eastAsia" w:ascii="仿宋_GB2312" w:hAnsi="仿宋_GB2312" w:eastAsia="仿宋_GB2312" w:cs="仿宋_GB2312"/>
          <w:color w:val="000000"/>
          <w:kern w:val="0"/>
          <w:sz w:val="32"/>
          <w:szCs w:val="32"/>
          <w:lang w:eastAsia="zh-CN"/>
        </w:rPr>
        <w:t>“</w:t>
      </w:r>
      <w:r>
        <w:rPr>
          <w:rFonts w:hint="eastAsia" w:ascii="仿宋_GB2312" w:hAnsi="仿宋_GB2312" w:eastAsia="仿宋_GB2312" w:cs="仿宋_GB2312"/>
          <w:color w:val="000000"/>
          <w:kern w:val="0"/>
          <w:sz w:val="32"/>
          <w:szCs w:val="32"/>
        </w:rPr>
        <w:t>一事一议</w:t>
      </w:r>
      <w:r>
        <w:rPr>
          <w:rFonts w:hint="eastAsia" w:ascii="仿宋_GB2312" w:hAnsi="仿宋_GB2312" w:eastAsia="仿宋_GB2312" w:cs="仿宋_GB2312"/>
          <w:color w:val="000000"/>
          <w:kern w:val="0"/>
          <w:sz w:val="32"/>
          <w:szCs w:val="32"/>
          <w:lang w:eastAsia="zh-CN"/>
        </w:rPr>
        <w:t>”</w:t>
      </w:r>
      <w:r>
        <w:rPr>
          <w:rFonts w:hint="eastAsia" w:ascii="仿宋_GB2312" w:hAnsi="仿宋_GB2312" w:eastAsia="仿宋_GB2312" w:cs="仿宋_GB2312"/>
          <w:color w:val="000000"/>
          <w:kern w:val="0"/>
          <w:sz w:val="32"/>
          <w:szCs w:val="32"/>
        </w:rPr>
        <w:t>给予支持。</w:t>
      </w:r>
    </w:p>
    <w:p>
      <w:pPr>
        <w:pStyle w:val="8"/>
        <w:shd w:val="clear" w:color="auto" w:fill="FFFFFF"/>
        <w:snapToGrid w:val="0"/>
        <w:spacing w:before="0" w:beforeAutospacing="0" w:after="0" w:afterAutospacing="0" w:line="600" w:lineRule="exact"/>
        <w:ind w:firstLine="640" w:firstLineChars="200"/>
        <w:jc w:val="both"/>
        <w:textAlignment w:val="baseline"/>
        <w:rPr>
          <w:rFonts w:ascii="楷体_GB2312" w:hAnsi="Times New Roman" w:eastAsia="楷体_GB2312"/>
          <w:color w:val="000000"/>
          <w:szCs w:val="32"/>
        </w:rPr>
      </w:pPr>
      <w:r>
        <w:rPr>
          <w:rFonts w:hint="eastAsia" w:ascii="楷体_GB2312" w:hAnsi="Times New Roman" w:eastAsia="楷体_GB2312"/>
          <w:color w:val="000000"/>
          <w:szCs w:val="32"/>
        </w:rPr>
        <w:t>（十</w:t>
      </w:r>
      <w:r>
        <w:rPr>
          <w:rFonts w:hint="eastAsia" w:ascii="楷体_GB2312" w:hAnsi="Times New Roman" w:eastAsia="楷体_GB2312"/>
          <w:color w:val="000000"/>
          <w:szCs w:val="32"/>
          <w:lang w:eastAsia="zh-CN"/>
        </w:rPr>
        <w:t>二</w:t>
      </w:r>
      <w:r>
        <w:rPr>
          <w:rFonts w:hint="eastAsia" w:ascii="楷体_GB2312" w:hAnsi="Times New Roman" w:eastAsia="楷体_GB2312"/>
          <w:color w:val="000000"/>
          <w:szCs w:val="32"/>
        </w:rPr>
        <w:t>）</w:t>
      </w:r>
      <w:r>
        <w:rPr>
          <w:rFonts w:hint="eastAsia" w:ascii="楷体_GB2312" w:hAnsi="Times New Roman" w:eastAsia="楷体_GB2312"/>
          <w:color w:val="000000"/>
          <w:szCs w:val="32"/>
          <w:lang w:eastAsia="zh-CN"/>
        </w:rPr>
        <w:t>打造产业活动和赛事体系</w:t>
      </w:r>
    </w:p>
    <w:p>
      <w:pPr>
        <w:pStyle w:val="8"/>
        <w:shd w:val="clear" w:color="auto" w:fill="FFFFFF"/>
        <w:snapToGrid w:val="0"/>
        <w:spacing w:before="0" w:beforeAutospacing="0" w:after="0" w:afterAutospacing="0" w:line="600" w:lineRule="exact"/>
        <w:ind w:firstLine="640" w:firstLineChars="200"/>
        <w:jc w:val="both"/>
        <w:textAlignment w:val="baseline"/>
        <w:rPr>
          <w:rFonts w:hint="eastAsia" w:ascii="仿宋_GB2312" w:hAnsi="仿宋_GB2312" w:eastAsia="仿宋_GB2312" w:cs="仿宋_GB2312"/>
          <w:szCs w:val="32"/>
        </w:rPr>
      </w:pPr>
      <w:r>
        <w:rPr>
          <w:rFonts w:hint="eastAsia" w:ascii="仿宋_GB2312" w:hAnsi="仿宋_GB2312" w:cs="仿宋_GB2312"/>
          <w:szCs w:val="32"/>
          <w:lang w:eastAsia="zh-CN"/>
        </w:rPr>
        <w:t>支持区内企业承办产业活动。</w:t>
      </w:r>
      <w:r>
        <w:rPr>
          <w:rFonts w:hint="eastAsia" w:ascii="仿宋_GB2312" w:hAnsi="仿宋_GB2312" w:eastAsia="仿宋_GB2312" w:cs="仿宋_GB2312"/>
          <w:szCs w:val="32"/>
        </w:rPr>
        <w:t>对</w:t>
      </w:r>
      <w:r>
        <w:rPr>
          <w:rFonts w:hint="eastAsia" w:ascii="仿宋_GB2312" w:hAnsi="仿宋_GB2312" w:cs="仿宋_GB2312"/>
          <w:szCs w:val="32"/>
          <w:lang w:eastAsia="zh-CN"/>
        </w:rPr>
        <w:t>于在区内承办国家部委主办（指导、支持）的产业活动，</w:t>
      </w:r>
      <w:r>
        <w:rPr>
          <w:rFonts w:hint="eastAsia" w:ascii="仿宋_GB2312" w:hAnsi="仿宋_GB2312" w:eastAsia="仿宋_GB2312" w:cs="仿宋_GB2312"/>
          <w:color w:val="000000"/>
          <w:szCs w:val="32"/>
        </w:rPr>
        <w:t>给予</w:t>
      </w:r>
      <w:r>
        <w:rPr>
          <w:rFonts w:hint="eastAsia" w:ascii="仿宋_GB2312" w:hAnsi="仿宋_GB2312" w:eastAsia="仿宋_GB2312" w:cs="仿宋_GB2312"/>
          <w:color w:val="000000"/>
          <w:szCs w:val="32"/>
          <w:lang w:eastAsia="zh-CN"/>
        </w:rPr>
        <w:t>承办</w:t>
      </w:r>
      <w:r>
        <w:rPr>
          <w:rFonts w:hint="eastAsia" w:ascii="仿宋_GB2312" w:hAnsi="仿宋_GB2312" w:eastAsia="仿宋_GB2312" w:cs="仿宋_GB2312"/>
          <w:color w:val="000000"/>
          <w:szCs w:val="32"/>
        </w:rPr>
        <w:t>方不超过活动实际发生费用中自筹资金总额</w:t>
      </w:r>
      <w:r>
        <w:rPr>
          <w:rFonts w:hint="eastAsia" w:ascii="仿宋_GB2312" w:hAnsi="仿宋_GB2312" w:cs="仿宋_GB2312"/>
          <w:color w:val="000000"/>
          <w:szCs w:val="32"/>
          <w:lang w:val="en-US" w:eastAsia="zh-CN"/>
        </w:rPr>
        <w:t>50</w:t>
      </w:r>
      <w:r>
        <w:rPr>
          <w:rFonts w:hint="eastAsia" w:ascii="仿宋_GB2312" w:hAnsi="仿宋_GB2312" w:eastAsia="仿宋_GB2312" w:cs="仿宋_GB2312"/>
          <w:color w:val="000000"/>
          <w:szCs w:val="32"/>
        </w:rPr>
        <w:t>%，最高不超过</w:t>
      </w:r>
      <w:r>
        <w:rPr>
          <w:rFonts w:hint="eastAsia" w:ascii="仿宋_GB2312" w:hAnsi="仿宋_GB2312" w:cs="仿宋_GB2312"/>
          <w:color w:val="000000"/>
          <w:szCs w:val="32"/>
          <w:lang w:val="en-US" w:eastAsia="zh-CN"/>
        </w:rPr>
        <w:t>100</w:t>
      </w:r>
      <w:r>
        <w:rPr>
          <w:rFonts w:hint="eastAsia" w:ascii="仿宋_GB2312" w:hAnsi="仿宋_GB2312" w:eastAsia="仿宋_GB2312" w:cs="仿宋_GB2312"/>
          <w:color w:val="000000"/>
          <w:szCs w:val="32"/>
        </w:rPr>
        <w:t>万元的资金支持。</w:t>
      </w:r>
    </w:p>
    <w:p>
      <w:pPr>
        <w:pStyle w:val="8"/>
        <w:shd w:val="clear" w:color="auto" w:fill="FFFFFF"/>
        <w:snapToGrid w:val="0"/>
        <w:spacing w:before="0" w:beforeAutospacing="0" w:after="0" w:afterAutospacing="0" w:line="600" w:lineRule="exact"/>
        <w:ind w:firstLine="640" w:firstLineChars="200"/>
        <w:jc w:val="both"/>
        <w:textAlignment w:val="baseline"/>
        <w:rPr>
          <w:rFonts w:hint="eastAsia" w:ascii="Times New Roman" w:hAnsi="Times New Roman"/>
          <w:color w:val="000000"/>
          <w:szCs w:val="32"/>
        </w:rPr>
      </w:pPr>
      <w:r>
        <w:rPr>
          <w:rFonts w:hint="eastAsia" w:ascii="仿宋_GB2312" w:hAnsi="仿宋_GB2312" w:cs="仿宋_GB2312"/>
          <w:color w:val="000000"/>
          <w:szCs w:val="32"/>
          <w:lang w:eastAsia="zh-CN"/>
        </w:rPr>
        <w:t>支持举办电竞赛事。</w:t>
      </w:r>
      <w:r>
        <w:rPr>
          <w:rFonts w:hint="eastAsia" w:ascii="仿宋_GB2312" w:hAnsi="仿宋_GB2312" w:eastAsia="仿宋_GB2312" w:cs="仿宋_GB2312"/>
          <w:color w:val="000000"/>
          <w:szCs w:val="32"/>
        </w:rPr>
        <w:t>对在经开区举办国际职业电竞赛事（总奖金额超过1000万元）的，给予活动主办方不超过活动实际发生费用</w:t>
      </w:r>
      <w:r>
        <w:rPr>
          <w:rFonts w:hint="eastAsia" w:ascii="仿宋_GB2312" w:hAnsi="仿宋_GB2312" w:cs="仿宋_GB2312"/>
          <w:color w:val="000000"/>
          <w:szCs w:val="32"/>
          <w:lang w:val="en-US" w:eastAsia="zh-CN"/>
        </w:rPr>
        <w:t>30</w:t>
      </w:r>
      <w:r>
        <w:rPr>
          <w:rFonts w:hint="eastAsia" w:ascii="仿宋_GB2312" w:hAnsi="仿宋_GB2312" w:eastAsia="仿宋_GB2312" w:cs="仿宋_GB2312"/>
          <w:color w:val="000000"/>
          <w:szCs w:val="32"/>
        </w:rPr>
        <w:t>%，</w:t>
      </w:r>
      <w:r>
        <w:rPr>
          <w:rFonts w:hint="eastAsia" w:ascii="仿宋_GB2312" w:hAnsi="仿宋_GB2312" w:cs="仿宋_GB2312"/>
          <w:color w:val="000000"/>
          <w:szCs w:val="32"/>
          <w:lang w:val="en-US" w:eastAsia="zh-CN"/>
        </w:rPr>
        <w:t>每次</w:t>
      </w:r>
      <w:r>
        <w:rPr>
          <w:rFonts w:hint="eastAsia" w:ascii="仿宋_GB2312" w:hAnsi="仿宋_GB2312" w:eastAsia="仿宋_GB2312" w:cs="仿宋_GB2312"/>
          <w:color w:val="000000"/>
          <w:szCs w:val="32"/>
        </w:rPr>
        <w:t>最高500万元的资金支持；对在经开区举办顶级全国职业电竞赛事（总奖金额超过300万元）的，给予活动主办方不超过活动实际发生费用</w:t>
      </w:r>
      <w:r>
        <w:rPr>
          <w:rFonts w:hint="eastAsia" w:ascii="仿宋_GB2312" w:hAnsi="仿宋_GB2312" w:cs="仿宋_GB2312"/>
          <w:color w:val="000000"/>
          <w:szCs w:val="32"/>
          <w:lang w:val="en-US" w:eastAsia="zh-CN"/>
        </w:rPr>
        <w:t>30</w:t>
      </w:r>
      <w:r>
        <w:rPr>
          <w:rFonts w:hint="eastAsia" w:ascii="仿宋_GB2312" w:hAnsi="仿宋_GB2312" w:eastAsia="仿宋_GB2312" w:cs="仿宋_GB2312"/>
          <w:color w:val="000000"/>
          <w:szCs w:val="32"/>
        </w:rPr>
        <w:t>%，</w:t>
      </w:r>
      <w:r>
        <w:rPr>
          <w:rFonts w:hint="eastAsia" w:ascii="仿宋_GB2312" w:hAnsi="仿宋_GB2312" w:cs="仿宋_GB2312"/>
          <w:color w:val="000000"/>
          <w:szCs w:val="32"/>
          <w:lang w:val="en-US" w:eastAsia="zh-CN"/>
        </w:rPr>
        <w:t>每次</w:t>
      </w:r>
      <w:r>
        <w:rPr>
          <w:rFonts w:hint="eastAsia" w:ascii="仿宋_GB2312" w:hAnsi="仿宋_GB2312" w:eastAsia="仿宋_GB2312" w:cs="仿宋_GB2312"/>
          <w:color w:val="000000"/>
          <w:szCs w:val="32"/>
        </w:rPr>
        <w:t>最高1</w:t>
      </w:r>
      <w:r>
        <w:rPr>
          <w:rFonts w:hint="eastAsia" w:ascii="仿宋_GB2312" w:hAnsi="仿宋_GB2312" w:cs="仿宋_GB2312"/>
          <w:color w:val="000000"/>
          <w:szCs w:val="32"/>
          <w:lang w:val="en-US" w:eastAsia="zh-CN"/>
        </w:rPr>
        <w:t>50</w:t>
      </w:r>
      <w:r>
        <w:rPr>
          <w:rFonts w:hint="eastAsia" w:ascii="仿宋_GB2312" w:hAnsi="仿宋_GB2312" w:eastAsia="仿宋_GB2312" w:cs="仿宋_GB2312"/>
          <w:color w:val="000000"/>
          <w:szCs w:val="32"/>
        </w:rPr>
        <w:t>万元的资金支持。</w:t>
      </w:r>
    </w:p>
    <w:p>
      <w:pPr>
        <w:pStyle w:val="8"/>
        <w:numPr>
          <w:ilvl w:val="0"/>
          <w:numId w:val="0"/>
        </w:numPr>
        <w:snapToGrid w:val="0"/>
        <w:spacing w:before="0" w:beforeAutospacing="0" w:after="0" w:afterAutospacing="0" w:line="600" w:lineRule="exact"/>
        <w:ind w:leftChars="200"/>
        <w:jc w:val="both"/>
        <w:rPr>
          <w:rFonts w:hint="eastAsia" w:ascii="楷体_GB2312" w:hAnsi="Times New Roman" w:eastAsia="楷体_GB2312"/>
          <w:color w:val="000000"/>
          <w:szCs w:val="32"/>
        </w:rPr>
      </w:pPr>
      <w:r>
        <w:rPr>
          <w:rFonts w:hint="eastAsia" w:ascii="楷体_GB2312" w:hAnsi="Times New Roman" w:eastAsia="楷体_GB2312"/>
          <w:color w:val="000000"/>
          <w:szCs w:val="32"/>
          <w:lang w:eastAsia="zh-CN"/>
        </w:rPr>
        <w:t>（</w:t>
      </w:r>
      <w:r>
        <w:rPr>
          <w:rFonts w:hint="eastAsia" w:ascii="楷体_GB2312" w:hAnsi="Times New Roman" w:eastAsia="楷体_GB2312"/>
          <w:color w:val="000000"/>
          <w:szCs w:val="32"/>
          <w:lang w:val="en-US" w:eastAsia="zh-CN"/>
        </w:rPr>
        <w:t>十三</w:t>
      </w:r>
      <w:r>
        <w:rPr>
          <w:rFonts w:hint="eastAsia" w:ascii="楷体_GB2312" w:hAnsi="Times New Roman" w:eastAsia="楷体_GB2312"/>
          <w:color w:val="000000"/>
          <w:szCs w:val="32"/>
          <w:lang w:eastAsia="zh-CN"/>
        </w:rPr>
        <w:t>）</w:t>
      </w:r>
      <w:r>
        <w:rPr>
          <w:rFonts w:hint="eastAsia" w:ascii="楷体_GB2312" w:hAnsi="Times New Roman" w:eastAsia="楷体_GB2312"/>
          <w:color w:val="000000"/>
          <w:szCs w:val="32"/>
        </w:rPr>
        <w:t>鼓励拓展应用场景</w:t>
      </w:r>
    </w:p>
    <w:p>
      <w:pPr>
        <w:pStyle w:val="8"/>
        <w:numPr>
          <w:ilvl w:val="0"/>
          <w:numId w:val="0"/>
        </w:numPr>
        <w:snapToGrid w:val="0"/>
        <w:spacing w:before="0" w:beforeAutospacing="0" w:after="0" w:afterAutospacing="0" w:line="600" w:lineRule="exact"/>
        <w:ind w:firstLine="640" w:firstLineChars="200"/>
        <w:jc w:val="both"/>
        <w:rPr>
          <w:rFonts w:hint="eastAsia" w:ascii="仿宋_GB2312" w:hAnsi="仿宋_GB2312" w:eastAsia="仿宋_GB2312" w:cs="仿宋_GB2312"/>
          <w:color w:val="000000"/>
          <w:szCs w:val="32"/>
          <w:lang w:val="en-US" w:eastAsia="zh-CN"/>
        </w:rPr>
      </w:pPr>
      <w:r>
        <w:rPr>
          <w:rFonts w:hint="eastAsia" w:ascii="仿宋_GB2312" w:hAnsi="仿宋_GB2312" w:eastAsia="仿宋_GB2312" w:cs="仿宋_GB2312"/>
          <w:color w:val="000000"/>
          <w:szCs w:val="32"/>
          <w:lang w:val="en-US" w:eastAsia="zh-CN"/>
        </w:rPr>
        <w:t>支持</w:t>
      </w:r>
      <w:r>
        <w:rPr>
          <w:rFonts w:hint="eastAsia" w:ascii="仿宋_GB2312" w:hAnsi="仿宋_GB2312" w:cs="仿宋_GB2312"/>
          <w:color w:val="000000"/>
          <w:szCs w:val="32"/>
          <w:lang w:val="en-US" w:eastAsia="zh-CN"/>
        </w:rPr>
        <w:t>运用虚拟现实、增强现实、混合现实、裸眼3D等新一代数字技术</w:t>
      </w:r>
      <w:r>
        <w:rPr>
          <w:rFonts w:hint="eastAsia" w:ascii="仿宋_GB2312" w:hAnsi="仿宋_GB2312" w:eastAsia="仿宋_GB2312" w:cs="仿宋_GB2312"/>
          <w:color w:val="000000"/>
          <w:szCs w:val="32"/>
          <w:lang w:val="en-US" w:eastAsia="zh-CN"/>
        </w:rPr>
        <w:t>在公园、街区、园区、景区等公共空间融入高新视听、游戏电竞元素，开发消费新场景，对具有良好社会效益和较大影响力的项目，给予不超过实际投入50%，最高100万元</w:t>
      </w:r>
      <w:r>
        <w:rPr>
          <w:rFonts w:hint="eastAsia" w:ascii="仿宋_GB2312" w:hAnsi="仿宋_GB2312" w:cs="仿宋_GB2312"/>
          <w:color w:val="000000"/>
          <w:szCs w:val="32"/>
          <w:lang w:val="en-US" w:eastAsia="zh-CN"/>
        </w:rPr>
        <w:t>的</w:t>
      </w:r>
      <w:r>
        <w:rPr>
          <w:rFonts w:hint="eastAsia" w:ascii="仿宋_GB2312" w:hAnsi="仿宋_GB2312" w:eastAsia="仿宋_GB2312" w:cs="仿宋_GB2312"/>
          <w:color w:val="000000"/>
          <w:szCs w:val="32"/>
          <w:lang w:val="en-US" w:eastAsia="zh-CN"/>
        </w:rPr>
        <w:t>资金支持。</w:t>
      </w:r>
    </w:p>
    <w:p>
      <w:pPr>
        <w:snapToGrid w:val="0"/>
        <w:spacing w:line="600" w:lineRule="exact"/>
        <w:ind w:firstLine="640" w:firstLineChars="200"/>
        <w:rPr>
          <w:rFonts w:hint="default" w:ascii="黑体" w:hAnsi="黑体" w:eastAsia="黑体"/>
          <w:color w:val="000000"/>
          <w:sz w:val="32"/>
          <w:szCs w:val="32"/>
          <w:lang w:val="en-US" w:eastAsia="zh-CN"/>
        </w:rPr>
      </w:pPr>
      <w:r>
        <w:rPr>
          <w:rFonts w:hint="eastAsia" w:ascii="黑体" w:hAnsi="黑体" w:eastAsia="黑体"/>
          <w:color w:val="000000"/>
          <w:sz w:val="32"/>
          <w:szCs w:val="32"/>
          <w:lang w:val="en-US" w:eastAsia="zh-CN"/>
        </w:rPr>
        <w:t>五、提升产业发展要素</w:t>
      </w:r>
    </w:p>
    <w:p>
      <w:pPr>
        <w:pStyle w:val="8"/>
        <w:snapToGrid w:val="0"/>
        <w:spacing w:before="0" w:beforeAutospacing="0" w:after="0" w:afterAutospacing="0" w:line="600" w:lineRule="exact"/>
        <w:ind w:firstLine="640" w:firstLineChars="200"/>
        <w:jc w:val="both"/>
        <w:rPr>
          <w:rFonts w:hint="eastAsia" w:ascii="楷体_GB2312" w:hAnsi="Times New Roman" w:eastAsia="楷体_GB2312"/>
          <w:color w:val="000000"/>
          <w:szCs w:val="32"/>
          <w:lang w:val="en-US" w:eastAsia="zh-CN"/>
        </w:rPr>
      </w:pPr>
      <w:r>
        <w:rPr>
          <w:rFonts w:hint="eastAsia" w:ascii="楷体_GB2312" w:hAnsi="Times New Roman" w:eastAsia="楷体_GB2312"/>
          <w:color w:val="000000"/>
          <w:szCs w:val="32"/>
        </w:rPr>
        <w:t>（十</w:t>
      </w:r>
      <w:r>
        <w:rPr>
          <w:rFonts w:hint="eastAsia" w:ascii="楷体_GB2312" w:hAnsi="Times New Roman" w:eastAsia="楷体_GB2312"/>
          <w:color w:val="000000"/>
          <w:szCs w:val="32"/>
          <w:lang w:eastAsia="zh-CN"/>
        </w:rPr>
        <w:t>四</w:t>
      </w:r>
      <w:r>
        <w:rPr>
          <w:rFonts w:hint="eastAsia" w:ascii="楷体_GB2312" w:hAnsi="Times New Roman" w:eastAsia="楷体_GB2312"/>
          <w:color w:val="000000"/>
          <w:szCs w:val="32"/>
        </w:rPr>
        <w:t>）</w:t>
      </w:r>
      <w:r>
        <w:rPr>
          <w:rFonts w:hint="eastAsia" w:ascii="楷体_GB2312" w:hAnsi="Times New Roman" w:eastAsia="楷体_GB2312"/>
          <w:color w:val="000000"/>
          <w:szCs w:val="32"/>
          <w:lang w:val="en-US" w:eastAsia="zh-CN"/>
        </w:rPr>
        <w:t>加强人才服务保障</w:t>
      </w:r>
    </w:p>
    <w:p>
      <w:pPr>
        <w:pStyle w:val="8"/>
        <w:snapToGrid w:val="0"/>
        <w:spacing w:before="0" w:beforeAutospacing="0" w:after="0" w:afterAutospacing="0" w:line="600" w:lineRule="exact"/>
        <w:ind w:firstLine="640" w:firstLineChars="200"/>
        <w:jc w:val="both"/>
        <w:rPr>
          <w:rFonts w:ascii="Times New Roman" w:hAnsi="Times New Roman"/>
          <w:color w:val="000000"/>
          <w:szCs w:val="32"/>
        </w:rPr>
      </w:pPr>
      <w:r>
        <w:rPr>
          <w:rFonts w:hint="eastAsia" w:ascii="Times New Roman" w:hAnsi="Times New Roman"/>
          <w:color w:val="000000"/>
          <w:szCs w:val="32"/>
          <w:lang w:eastAsia="zh-CN"/>
        </w:rPr>
        <w:t>根据《北京经开区致辞高精尖产业人才创新创业实施办法</w:t>
      </w:r>
      <w:r>
        <w:rPr>
          <w:rFonts w:hint="eastAsia" w:ascii="仿宋_GB2312" w:hAnsi="仿宋_GB2312" w:eastAsia="仿宋_GB2312" w:cs="仿宋_GB2312"/>
          <w:color w:val="000000"/>
          <w:szCs w:val="32"/>
          <w:lang w:eastAsia="zh-CN"/>
        </w:rPr>
        <w:t>（</w:t>
      </w:r>
      <w:r>
        <w:rPr>
          <w:rFonts w:hint="eastAsia" w:ascii="仿宋_GB2312" w:hAnsi="仿宋_GB2312" w:eastAsia="仿宋_GB2312" w:cs="仿宋_GB2312"/>
          <w:color w:val="000000"/>
          <w:szCs w:val="32"/>
          <w:lang w:val="en-US" w:eastAsia="zh-CN"/>
        </w:rPr>
        <w:t>2.0版</w:t>
      </w:r>
      <w:r>
        <w:rPr>
          <w:rFonts w:hint="eastAsia" w:ascii="仿宋_GB2312" w:hAnsi="仿宋_GB2312" w:eastAsia="仿宋_GB2312" w:cs="仿宋_GB2312"/>
          <w:color w:val="000000"/>
          <w:szCs w:val="32"/>
          <w:lang w:eastAsia="zh-CN"/>
        </w:rPr>
        <w:t>）</w:t>
      </w:r>
      <w:r>
        <w:rPr>
          <w:rFonts w:hint="eastAsia" w:ascii="Times New Roman" w:hAnsi="Times New Roman"/>
          <w:color w:val="000000"/>
          <w:szCs w:val="32"/>
          <w:lang w:eastAsia="zh-CN"/>
        </w:rPr>
        <w:t>》相关要求，构建适合科文融合产业发展的多元化人才评价认定体系，鼓励搭建高能级人才创新创业平台。</w:t>
      </w:r>
      <w:r>
        <w:rPr>
          <w:rFonts w:hint="eastAsia" w:ascii="Times New Roman" w:hAnsi="Times New Roman"/>
          <w:color w:val="000000"/>
          <w:szCs w:val="32"/>
        </w:rPr>
        <w:t>推荐</w:t>
      </w:r>
      <w:r>
        <w:rPr>
          <w:rFonts w:hint="eastAsia" w:ascii="Times New Roman" w:hAnsi="Times New Roman"/>
          <w:color w:val="000000"/>
          <w:szCs w:val="32"/>
          <w:lang w:val="en-US" w:eastAsia="zh-CN"/>
        </w:rPr>
        <w:t>高新视听、</w:t>
      </w:r>
      <w:r>
        <w:rPr>
          <w:rFonts w:hint="eastAsia" w:ascii="Times New Roman" w:hAnsi="Times New Roman"/>
          <w:color w:val="000000"/>
          <w:szCs w:val="32"/>
        </w:rPr>
        <w:t>游戏电竞</w:t>
      </w:r>
      <w:r>
        <w:rPr>
          <w:rFonts w:hint="eastAsia" w:ascii="Times New Roman" w:hAnsi="Times New Roman"/>
          <w:color w:val="000000"/>
          <w:szCs w:val="32"/>
          <w:lang w:eastAsia="zh-CN"/>
        </w:rPr>
        <w:t>、元宇宙</w:t>
      </w:r>
      <w:r>
        <w:rPr>
          <w:rFonts w:hint="eastAsia" w:ascii="Times New Roman" w:hAnsi="Times New Roman"/>
          <w:color w:val="000000"/>
          <w:szCs w:val="32"/>
        </w:rPr>
        <w:t>等</w:t>
      </w:r>
      <w:r>
        <w:rPr>
          <w:rFonts w:hint="eastAsia" w:ascii="Times New Roman" w:hAnsi="Times New Roman"/>
          <w:color w:val="000000"/>
          <w:szCs w:val="32"/>
          <w:lang w:eastAsia="zh-CN"/>
        </w:rPr>
        <w:t>产业</w:t>
      </w:r>
      <w:r>
        <w:rPr>
          <w:rFonts w:hint="eastAsia" w:ascii="Times New Roman" w:hAnsi="Times New Roman"/>
          <w:color w:val="000000"/>
          <w:szCs w:val="32"/>
        </w:rPr>
        <w:t>领域人才纳入北京经开区高精尖产业人才认定范畴，</w:t>
      </w:r>
      <w:r>
        <w:rPr>
          <w:rFonts w:hint="eastAsia" w:ascii="Times New Roman" w:hAnsi="Times New Roman"/>
          <w:color w:val="000000"/>
          <w:szCs w:val="32"/>
          <w:lang w:eastAsia="zh-CN"/>
        </w:rPr>
        <w:t>对经认定的人才创新创业提供资源要素体系支撑和高品质生活服务保障并实施专项奖励，支持人才为经开区发展持续贡献力量</w:t>
      </w:r>
      <w:r>
        <w:rPr>
          <w:rFonts w:hint="eastAsia" w:ascii="Times New Roman" w:hAnsi="Times New Roman"/>
          <w:color w:val="000000"/>
          <w:szCs w:val="32"/>
        </w:rPr>
        <w:t>。</w:t>
      </w:r>
    </w:p>
    <w:p>
      <w:pPr>
        <w:pStyle w:val="8"/>
        <w:numPr>
          <w:ilvl w:val="0"/>
          <w:numId w:val="0"/>
        </w:numPr>
        <w:snapToGrid w:val="0"/>
        <w:spacing w:before="0" w:beforeAutospacing="0" w:after="0" w:afterAutospacing="0" w:line="600" w:lineRule="exact"/>
        <w:ind w:firstLine="640" w:firstLineChars="200"/>
        <w:jc w:val="both"/>
        <w:rPr>
          <w:rFonts w:hint="eastAsia" w:ascii="楷体_GB2312" w:hAnsi="Times New Roman" w:eastAsia="楷体_GB2312"/>
          <w:color w:val="000000"/>
          <w:szCs w:val="32"/>
        </w:rPr>
      </w:pPr>
      <w:r>
        <w:rPr>
          <w:rFonts w:hint="eastAsia" w:ascii="楷体_GB2312" w:hAnsi="Times New Roman" w:eastAsia="楷体_GB2312"/>
          <w:color w:val="000000"/>
          <w:szCs w:val="32"/>
          <w:lang w:eastAsia="zh-CN"/>
        </w:rPr>
        <w:t>（十五）</w:t>
      </w:r>
      <w:r>
        <w:rPr>
          <w:rFonts w:hint="eastAsia" w:ascii="楷体_GB2312" w:hAnsi="Times New Roman" w:eastAsia="楷体_GB2312"/>
          <w:color w:val="000000"/>
          <w:szCs w:val="32"/>
        </w:rPr>
        <w:t>加强金融服务保障</w:t>
      </w:r>
    </w:p>
    <w:p>
      <w:pPr>
        <w:pStyle w:val="8"/>
        <w:numPr>
          <w:ilvl w:val="0"/>
          <w:numId w:val="0"/>
        </w:numPr>
        <w:snapToGrid w:val="0"/>
        <w:spacing w:before="0" w:beforeAutospacing="0" w:after="0" w:afterAutospacing="0" w:line="600" w:lineRule="exact"/>
        <w:ind w:firstLine="640" w:firstLineChars="200"/>
        <w:jc w:val="both"/>
        <w:rPr>
          <w:rFonts w:hint="eastAsia" w:ascii="Times New Roman" w:hAnsi="Times New Roman"/>
          <w:color w:val="000000"/>
          <w:szCs w:val="32"/>
          <w:lang w:eastAsia="zh-CN"/>
        </w:rPr>
      </w:pPr>
      <w:r>
        <w:rPr>
          <w:rFonts w:hint="eastAsia" w:ascii="Times New Roman" w:hAnsi="Times New Roman"/>
          <w:color w:val="000000"/>
          <w:szCs w:val="32"/>
        </w:rPr>
        <w:t>推荐支持</w:t>
      </w:r>
      <w:r>
        <w:rPr>
          <w:rFonts w:hint="eastAsia" w:ascii="Times New Roman" w:hAnsi="Times New Roman"/>
          <w:color w:val="000000"/>
          <w:szCs w:val="32"/>
          <w:lang w:eastAsia="zh-CN"/>
        </w:rPr>
        <w:t>符合条件的</w:t>
      </w:r>
      <w:r>
        <w:rPr>
          <w:rFonts w:hint="eastAsia" w:ascii="Times New Roman" w:hAnsi="Times New Roman"/>
          <w:color w:val="000000"/>
          <w:szCs w:val="32"/>
        </w:rPr>
        <w:t>企业申请北京经济技术开发区科技创新专项资金</w:t>
      </w:r>
      <w:r>
        <w:rPr>
          <w:rFonts w:hint="eastAsia" w:ascii="Times New Roman" w:hAnsi="Times New Roman"/>
          <w:color w:val="000000"/>
          <w:szCs w:val="32"/>
          <w:lang w:eastAsia="zh-CN"/>
        </w:rPr>
        <w:t>和政府引导基金</w:t>
      </w:r>
      <w:r>
        <w:rPr>
          <w:rFonts w:hint="eastAsia" w:ascii="Times New Roman" w:hAnsi="Times New Roman"/>
          <w:color w:val="000000"/>
          <w:szCs w:val="32"/>
        </w:rPr>
        <w:t>，并推荐</w:t>
      </w:r>
      <w:r>
        <w:rPr>
          <w:rFonts w:hint="eastAsia" w:ascii="Times New Roman" w:hAnsi="Times New Roman"/>
          <w:color w:val="000000"/>
          <w:szCs w:val="32"/>
          <w:lang w:eastAsia="zh-CN"/>
        </w:rPr>
        <w:t>纳入经开区政府投资引导基金市场化子资金</w:t>
      </w:r>
      <w:r>
        <w:rPr>
          <w:rFonts w:hint="eastAsia" w:ascii="Times New Roman" w:hAnsi="Times New Roman"/>
          <w:color w:val="000000"/>
          <w:szCs w:val="32"/>
        </w:rPr>
        <w:t>投资储备项目。</w:t>
      </w:r>
      <w:r>
        <w:rPr>
          <w:rFonts w:hint="eastAsia" w:ascii="Times New Roman" w:hAnsi="Times New Roman"/>
          <w:color w:val="000000"/>
          <w:szCs w:val="32"/>
          <w:lang w:eastAsia="zh-CN"/>
        </w:rPr>
        <w:t>鼓励企业在境内主板、科创板、创业板、北交所上市，分阶段给予资金奖励或根据企业自身意愿选择一次性获取，最高可奖励</w:t>
      </w:r>
      <w:r>
        <w:rPr>
          <w:rFonts w:hint="eastAsia" w:ascii="仿宋_GB2312" w:hAnsi="仿宋_GB2312" w:eastAsia="仿宋_GB2312" w:cs="仿宋_GB2312"/>
          <w:color w:val="000000"/>
          <w:szCs w:val="32"/>
          <w:lang w:eastAsia="zh-CN"/>
        </w:rPr>
        <w:t>1200</w:t>
      </w:r>
      <w:r>
        <w:rPr>
          <w:rFonts w:hint="eastAsia" w:ascii="Times New Roman" w:hAnsi="Times New Roman"/>
          <w:color w:val="000000"/>
          <w:szCs w:val="32"/>
          <w:lang w:eastAsia="zh-CN"/>
        </w:rPr>
        <w:t>万元。</w:t>
      </w:r>
    </w:p>
    <w:p>
      <w:pPr>
        <w:pStyle w:val="8"/>
        <w:numPr>
          <w:ilvl w:val="0"/>
          <w:numId w:val="0"/>
        </w:numPr>
        <w:snapToGrid w:val="0"/>
        <w:spacing w:before="0" w:beforeAutospacing="0" w:after="0" w:afterAutospacing="0" w:line="600" w:lineRule="exact"/>
        <w:jc w:val="both"/>
        <w:rPr>
          <w:rFonts w:hint="eastAsia" w:ascii="Times New Roman" w:hAnsi="Times New Roman"/>
          <w:color w:val="000000"/>
          <w:szCs w:val="32"/>
          <w:lang w:val="en-US" w:eastAsia="zh-CN"/>
        </w:rPr>
      </w:pPr>
      <w:r>
        <w:rPr>
          <w:rFonts w:hint="eastAsia" w:ascii="Times New Roman" w:hAnsi="Times New Roman"/>
          <w:color w:val="000000"/>
          <w:szCs w:val="32"/>
          <w:lang w:val="en-US" w:eastAsia="zh-CN"/>
        </w:rPr>
        <w:t>参照《北京经济技术开发区关于进一步支持企业上市发展的若干措施》第二条进行兑现。</w:t>
      </w:r>
    </w:p>
    <w:p>
      <w:pPr>
        <w:snapToGrid w:val="0"/>
        <w:spacing w:line="600" w:lineRule="exact"/>
        <w:ind w:firstLine="640" w:firstLineChars="200"/>
        <w:rPr>
          <w:rFonts w:ascii="黑体" w:hAnsi="黑体" w:eastAsia="黑体"/>
          <w:color w:val="000000"/>
          <w:sz w:val="32"/>
          <w:szCs w:val="32"/>
        </w:rPr>
      </w:pPr>
      <w:r>
        <w:rPr>
          <w:rFonts w:hint="eastAsia" w:ascii="黑体" w:hAnsi="黑体" w:eastAsia="黑体"/>
          <w:color w:val="000000"/>
          <w:sz w:val="32"/>
          <w:szCs w:val="32"/>
          <w:lang w:val="en-US" w:eastAsia="zh-CN"/>
        </w:rPr>
        <w:t>六</w:t>
      </w:r>
      <w:r>
        <w:rPr>
          <w:rFonts w:hint="eastAsia" w:ascii="黑体" w:hAnsi="黑体" w:eastAsia="黑体"/>
          <w:color w:val="000000"/>
          <w:sz w:val="32"/>
          <w:szCs w:val="32"/>
        </w:rPr>
        <w:t>、附则</w:t>
      </w:r>
    </w:p>
    <w:p>
      <w:pPr>
        <w:pStyle w:val="8"/>
        <w:numPr>
          <w:ilvl w:val="0"/>
          <w:numId w:val="0"/>
        </w:numPr>
        <w:snapToGrid w:val="0"/>
        <w:spacing w:before="0" w:beforeAutospacing="0" w:after="0" w:afterAutospacing="0" w:line="600" w:lineRule="exact"/>
        <w:ind w:firstLine="640" w:firstLineChars="200"/>
        <w:jc w:val="both"/>
        <w:rPr>
          <w:rFonts w:hint="eastAsia" w:ascii="Times New Roman" w:hAnsi="Times New Roman"/>
          <w:color w:val="000000"/>
          <w:szCs w:val="32"/>
        </w:rPr>
      </w:pPr>
      <w:r>
        <w:rPr>
          <w:rFonts w:hint="eastAsia" w:ascii="Times New Roman" w:hAnsi="Times New Roman"/>
          <w:color w:val="000000"/>
          <w:szCs w:val="32"/>
        </w:rPr>
        <w:t>（一）本措施中政策兑现周期以会计年度进行计算。</w:t>
      </w:r>
    </w:p>
    <w:p>
      <w:pPr>
        <w:pStyle w:val="8"/>
        <w:numPr>
          <w:ilvl w:val="0"/>
          <w:numId w:val="0"/>
        </w:numPr>
        <w:snapToGrid w:val="0"/>
        <w:spacing w:before="0" w:beforeAutospacing="0" w:after="0" w:afterAutospacing="0" w:line="600" w:lineRule="exact"/>
        <w:ind w:firstLine="640" w:firstLineChars="200"/>
        <w:jc w:val="both"/>
        <w:rPr>
          <w:rFonts w:hint="eastAsia" w:ascii="Times New Roman" w:hAnsi="Times New Roman"/>
          <w:color w:val="000000"/>
          <w:szCs w:val="32"/>
        </w:rPr>
      </w:pPr>
      <w:r>
        <w:rPr>
          <w:rFonts w:hint="eastAsia" w:ascii="Times New Roman" w:hAnsi="Times New Roman"/>
          <w:color w:val="000000"/>
          <w:szCs w:val="32"/>
        </w:rPr>
        <w:t>（二）新入区，是指政策征集指定时间段内，在亦庄新城范围内完成工商注册、税务登记、统计登记的企业。</w:t>
      </w:r>
    </w:p>
    <w:p>
      <w:pPr>
        <w:pStyle w:val="8"/>
        <w:numPr>
          <w:ilvl w:val="0"/>
          <w:numId w:val="0"/>
        </w:numPr>
        <w:snapToGrid w:val="0"/>
        <w:spacing w:before="0" w:beforeAutospacing="0" w:after="0" w:afterAutospacing="0" w:line="600" w:lineRule="exact"/>
        <w:ind w:firstLine="640" w:firstLineChars="200"/>
        <w:jc w:val="both"/>
        <w:rPr>
          <w:rFonts w:hint="eastAsia" w:ascii="Times New Roman" w:hAnsi="Times New Roman"/>
          <w:color w:val="000000"/>
          <w:szCs w:val="32"/>
        </w:rPr>
      </w:pPr>
      <w:r>
        <w:rPr>
          <w:rFonts w:hint="eastAsia" w:ascii="Times New Roman" w:hAnsi="Times New Roman"/>
          <w:color w:val="000000"/>
          <w:szCs w:val="32"/>
        </w:rPr>
        <w:t>（三）新获批或新引进，是指政策征集指定时间段内，获得相关主管部门批复，或将获得主管部门批复的单位工商注册、税务登记、统计登记迁入经开区的。</w:t>
      </w:r>
    </w:p>
    <w:p>
      <w:pPr>
        <w:pStyle w:val="8"/>
        <w:numPr>
          <w:ilvl w:val="0"/>
          <w:numId w:val="0"/>
        </w:numPr>
        <w:snapToGrid w:val="0"/>
        <w:spacing w:before="0" w:beforeAutospacing="0" w:after="0" w:afterAutospacing="0" w:line="600" w:lineRule="exact"/>
        <w:ind w:firstLine="640" w:firstLineChars="200"/>
        <w:jc w:val="both"/>
        <w:rPr>
          <w:rFonts w:hint="eastAsia" w:ascii="Times New Roman" w:hAnsi="Times New Roman"/>
          <w:color w:val="000000"/>
          <w:szCs w:val="32"/>
        </w:rPr>
      </w:pPr>
      <w:r>
        <w:rPr>
          <w:rFonts w:hint="eastAsia" w:ascii="Times New Roman" w:hAnsi="Times New Roman"/>
          <w:color w:val="000000"/>
          <w:szCs w:val="32"/>
        </w:rPr>
        <w:t>（四）本措施政策条款不与经济贡献指标挂钩。</w:t>
      </w:r>
    </w:p>
    <w:p>
      <w:pPr>
        <w:pStyle w:val="8"/>
        <w:numPr>
          <w:ilvl w:val="0"/>
          <w:numId w:val="0"/>
        </w:numPr>
        <w:snapToGrid w:val="0"/>
        <w:spacing w:before="0" w:beforeAutospacing="0" w:after="0" w:afterAutospacing="0" w:line="600" w:lineRule="exact"/>
        <w:ind w:firstLine="640" w:firstLineChars="200"/>
        <w:jc w:val="both"/>
        <w:rPr>
          <w:rFonts w:hint="eastAsia" w:ascii="Times New Roman" w:hAnsi="Times New Roman"/>
          <w:color w:val="000000"/>
          <w:szCs w:val="32"/>
        </w:rPr>
      </w:pPr>
      <w:r>
        <w:rPr>
          <w:rFonts w:hint="eastAsia" w:ascii="Times New Roman" w:hAnsi="Times New Roman"/>
          <w:color w:val="000000"/>
          <w:szCs w:val="32"/>
        </w:rPr>
        <w:t>（五）申报主体所提交全部材料均须真实、准确、有效，留存备查；接受</w:t>
      </w:r>
      <w:r>
        <w:rPr>
          <w:rFonts w:hint="eastAsia" w:ascii="仿宋_GB2312" w:hAnsi="仿宋_GB2312" w:eastAsia="仿宋_GB2312" w:cs="仿宋_GB2312"/>
          <w:color w:val="000000"/>
          <w:szCs w:val="32"/>
        </w:rPr>
        <w:t>并积极配合市区相关部门不定期抽查（抽查比例一般不低于20%）</w:t>
      </w:r>
      <w:r>
        <w:rPr>
          <w:rFonts w:hint="eastAsia" w:ascii="Times New Roman" w:hAnsi="Times New Roman"/>
          <w:color w:val="000000"/>
          <w:szCs w:val="32"/>
        </w:rPr>
        <w:t>。</w:t>
      </w:r>
    </w:p>
    <w:p>
      <w:pPr>
        <w:pStyle w:val="8"/>
        <w:numPr>
          <w:ilvl w:val="0"/>
          <w:numId w:val="0"/>
        </w:numPr>
        <w:snapToGrid w:val="0"/>
        <w:spacing w:before="0" w:beforeAutospacing="0" w:after="0" w:afterAutospacing="0" w:line="600" w:lineRule="exact"/>
        <w:ind w:firstLine="640" w:firstLineChars="200"/>
        <w:jc w:val="both"/>
        <w:rPr>
          <w:rFonts w:hint="eastAsia" w:ascii="Times New Roman" w:hAnsi="Times New Roman"/>
          <w:color w:val="000000"/>
          <w:szCs w:val="32"/>
        </w:rPr>
      </w:pPr>
      <w:r>
        <w:rPr>
          <w:rFonts w:hint="eastAsia" w:ascii="Times New Roman" w:hAnsi="Times New Roman"/>
          <w:color w:val="000000"/>
          <w:szCs w:val="32"/>
        </w:rPr>
        <w:t>（六）经开区支持申报主体长期立足区内稳定发展，并与之签订承诺书。</w:t>
      </w:r>
    </w:p>
    <w:p>
      <w:pPr>
        <w:pStyle w:val="8"/>
        <w:numPr>
          <w:ilvl w:val="0"/>
          <w:numId w:val="0"/>
        </w:numPr>
        <w:snapToGrid w:val="0"/>
        <w:spacing w:before="0" w:beforeAutospacing="0" w:after="0" w:afterAutospacing="0" w:line="600" w:lineRule="exact"/>
        <w:ind w:firstLine="640" w:firstLineChars="200"/>
        <w:jc w:val="both"/>
        <w:rPr>
          <w:rFonts w:hint="eastAsia" w:ascii="Times New Roman" w:hAnsi="Times New Roman"/>
          <w:color w:val="000000"/>
          <w:szCs w:val="32"/>
        </w:rPr>
      </w:pPr>
      <w:r>
        <w:rPr>
          <w:rFonts w:hint="eastAsia" w:ascii="Times New Roman" w:hAnsi="Times New Roman"/>
          <w:color w:val="000000"/>
          <w:szCs w:val="32"/>
        </w:rPr>
        <w:t>（七）经开区出台相关支持政策或已执行经开区入区协议相关政策的，按照</w:t>
      </w:r>
      <w:r>
        <w:rPr>
          <w:rFonts w:hint="eastAsia" w:ascii="Times New Roman" w:hAnsi="Times New Roman"/>
          <w:color w:val="000000"/>
          <w:szCs w:val="32"/>
          <w:lang w:eastAsia="zh-CN"/>
        </w:rPr>
        <w:t>“</w:t>
      </w:r>
      <w:r>
        <w:rPr>
          <w:rFonts w:hint="eastAsia" w:ascii="Times New Roman" w:hAnsi="Times New Roman"/>
          <w:color w:val="000000"/>
          <w:szCs w:val="32"/>
        </w:rPr>
        <w:t>从优不重复</w:t>
      </w:r>
      <w:r>
        <w:rPr>
          <w:rFonts w:hint="eastAsia" w:ascii="Times New Roman" w:hAnsi="Times New Roman"/>
          <w:color w:val="000000"/>
          <w:szCs w:val="32"/>
          <w:lang w:eastAsia="zh-CN"/>
        </w:rPr>
        <w:t>”</w:t>
      </w:r>
      <w:r>
        <w:rPr>
          <w:rFonts w:hint="eastAsia" w:ascii="Times New Roman" w:hAnsi="Times New Roman"/>
          <w:color w:val="000000"/>
          <w:szCs w:val="32"/>
        </w:rPr>
        <w:t>原则执行，本措施有特别规定的除外。</w:t>
      </w:r>
    </w:p>
    <w:p>
      <w:pPr>
        <w:pStyle w:val="8"/>
        <w:numPr>
          <w:ilvl w:val="0"/>
          <w:numId w:val="0"/>
        </w:numPr>
        <w:snapToGrid w:val="0"/>
        <w:spacing w:before="0" w:beforeAutospacing="0" w:after="0" w:afterAutospacing="0" w:line="600" w:lineRule="exact"/>
        <w:ind w:firstLine="640" w:firstLineChars="200"/>
        <w:jc w:val="both"/>
        <w:rPr>
          <w:rFonts w:hint="eastAsia" w:ascii="Times New Roman" w:hAnsi="Times New Roman"/>
          <w:color w:val="000000"/>
          <w:szCs w:val="32"/>
        </w:rPr>
      </w:pPr>
      <w:r>
        <w:rPr>
          <w:rFonts w:hint="eastAsia" w:ascii="Times New Roman" w:hAnsi="Times New Roman"/>
          <w:color w:val="000000"/>
          <w:szCs w:val="32"/>
        </w:rPr>
        <w:t>（八）本措施自公布</w:t>
      </w:r>
      <w:r>
        <w:rPr>
          <w:rFonts w:hint="eastAsia" w:ascii="仿宋_GB2312" w:hAnsi="仿宋_GB2312" w:eastAsia="仿宋_GB2312" w:cs="仿宋_GB2312"/>
          <w:color w:val="000000"/>
          <w:szCs w:val="32"/>
        </w:rPr>
        <w:t>之日起施行，至2025年</w:t>
      </w:r>
      <w:r>
        <w:rPr>
          <w:rFonts w:hint="eastAsia" w:ascii="仿宋_GB2312" w:hAnsi="仿宋_GB2312" w:cs="仿宋_GB2312"/>
          <w:color w:val="000000"/>
          <w:szCs w:val="32"/>
          <w:lang w:val="en-US" w:eastAsia="zh-CN"/>
        </w:rPr>
        <w:t>09</w:t>
      </w:r>
      <w:r>
        <w:rPr>
          <w:rFonts w:hint="eastAsia" w:ascii="仿宋_GB2312" w:hAnsi="仿宋_GB2312" w:eastAsia="仿宋_GB2312" w:cs="仿宋_GB2312"/>
          <w:color w:val="000000"/>
          <w:szCs w:val="32"/>
        </w:rPr>
        <w:t>月</w:t>
      </w:r>
      <w:r>
        <w:rPr>
          <w:rFonts w:hint="eastAsia" w:ascii="Times New Roman" w:hAnsi="Times New Roman"/>
          <w:color w:val="000000"/>
          <w:szCs w:val="32"/>
        </w:rPr>
        <w:t>结束。有效期届满或有关法律法规政策依据变动的，根据实施情况</w:t>
      </w:r>
      <w:bookmarkStart w:id="0" w:name="_GoBack"/>
      <w:bookmarkEnd w:id="0"/>
      <w:r>
        <w:rPr>
          <w:rFonts w:hint="eastAsia" w:ascii="Times New Roman" w:hAnsi="Times New Roman"/>
          <w:color w:val="000000"/>
          <w:szCs w:val="32"/>
        </w:rPr>
        <w:t>予以评估修订，评估修订期间相关政策继续执行。施行期间如遇国家和北京市相关政策调整，本措施同步调整。</w:t>
      </w:r>
    </w:p>
    <w:p>
      <w:pPr>
        <w:pStyle w:val="8"/>
        <w:numPr>
          <w:ilvl w:val="0"/>
          <w:numId w:val="0"/>
        </w:numPr>
        <w:snapToGrid w:val="0"/>
        <w:spacing w:before="0" w:beforeAutospacing="0" w:after="0" w:afterAutospacing="0" w:line="600" w:lineRule="exact"/>
        <w:ind w:firstLine="640" w:firstLineChars="200"/>
        <w:jc w:val="both"/>
        <w:rPr>
          <w:rFonts w:hint="eastAsia" w:ascii="Times New Roman" w:hAnsi="Times New Roman"/>
          <w:color w:val="000000"/>
          <w:szCs w:val="32"/>
        </w:rPr>
      </w:pPr>
      <w:r>
        <w:rPr>
          <w:rFonts w:hint="eastAsia" w:ascii="Times New Roman" w:hAnsi="Times New Roman"/>
          <w:color w:val="000000"/>
          <w:szCs w:val="32"/>
        </w:rPr>
        <w:t>（九）本措施由北京经济技术开发区工委宣传文化部负责解释。</w:t>
      </w: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CESI仿宋-GB2312">
    <w:panose1 w:val="02000500000000000000"/>
    <w:charset w:val="86"/>
    <w:family w:val="auto"/>
    <w:pitch w:val="default"/>
    <w:sig w:usb0="800002AF" w:usb1="084F6CF8" w:usb2="00000010" w:usb3="00000000" w:csb0="0004000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等线">
    <w:altName w:val="汉仪中宋简"/>
    <w:panose1 w:val="02010600030001010101"/>
    <w:charset w:val="86"/>
    <w:family w:val="auto"/>
    <w:pitch w:val="default"/>
    <w:sig w:usb0="00000000" w:usb1="00000000" w:usb2="00000016" w:usb3="00000000" w:csb0="0004000F" w:csb1="00000000"/>
  </w:font>
  <w:font w:name="CESI黑体-GB13000">
    <w:panose1 w:val="02000500000000000000"/>
    <w:charset w:val="86"/>
    <w:family w:val="auto"/>
    <w:pitch w:val="default"/>
    <w:sig w:usb0="800002BF" w:usb1="38CF7CF8" w:usb2="00000016" w:usb3="00000000" w:csb0="0004000F" w:csb1="00000000"/>
  </w:font>
  <w:font w:name="方正小标宋_GBK">
    <w:panose1 w:val="02000000000000000000"/>
    <w:charset w:val="86"/>
    <w:family w:val="script"/>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汉仪中宋简">
    <w:panose1 w:val="02010600000101010101"/>
    <w:charset w:val="86"/>
    <w:family w:val="auto"/>
    <w:pitch w:val="default"/>
    <w:sig w:usb0="00000001" w:usb1="080E0800" w:usb2="00000002" w:usb3="00000000" w:csb0="00040000"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rPr>
        <w:sz w:val="18"/>
      </w:rPr>
      <mc:AlternateContent>
        <mc:Choice Requires="wps">
          <w:drawing>
            <wp:anchor distT="0" distB="0" distL="0" distR="0" simplePos="0" relativeHeight="10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6"/>
                            <w:jc w:val="center"/>
                          </w:pPr>
                          <w:r>
                            <w:fldChar w:fldCharType="begin"/>
                          </w:r>
                          <w:r>
                            <w:instrText xml:space="preserve">PAGE   \* MERGEFORMAT</w:instrText>
                          </w:r>
                          <w:r>
                            <w:fldChar w:fldCharType="separate"/>
                          </w:r>
                          <w:r>
                            <w:rPr>
                              <w:lang w:val="zh-CN"/>
                            </w:rPr>
                            <w:t>2</w:t>
                          </w:r>
                          <w:r>
                            <w:fldChar w:fldCharType="end"/>
                          </w:r>
                        </w:p>
                        <w:p>
                          <w:pPr>
                            <w:pStyle w:val="2"/>
                          </w:pPr>
                        </w:p>
                      </w:txbxContent>
                    </wps:txbx>
                    <wps:bodyPr vert="horz" wrap="none" lIns="0" tIns="0" rIns="0" bIns="0" anchor="t" upright="false">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1024;mso-width-relative:page;mso-height-relative:page;" filled="f" stroked="f" coordsize="21600,21600" o:gfxdata="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BYA&#10;AABkcnMvUEsBAhQAFAAAAAgAh07iQLl1uVLQAAAABQEAAA8AAAAAAAAAAQAgAAAAOAAAAGRycy9k&#10;b3ducmV2LnhtbFBLAQIUABQAAAAIAIdO4kDz9duHuwEAAFQDAAAOAAAAAAAAAAEAIAAAADUBAABk&#10;cnMvZTJvRG9jLnhtbFBLBQYAAAAABgAGAFkBAABiBQAAAAA=&#10;">
              <v:fill on="f" focussize="0,0"/>
              <v:stroke on="f"/>
              <v:imagedata o:title=""/>
              <o:lock v:ext="edit" aspectratio="f"/>
              <v:textbox inset="0mm,0mm,0mm,0mm" style="mso-fit-shape-to-text:t;">
                <w:txbxContent>
                  <w:p>
                    <w:pPr>
                      <w:pStyle w:val="6"/>
                      <w:jc w:val="center"/>
                    </w:pPr>
                    <w:r>
                      <w:fldChar w:fldCharType="begin"/>
                    </w:r>
                    <w:r>
                      <w:instrText xml:space="preserve">PAGE   \* MERGEFORMAT</w:instrText>
                    </w:r>
                    <w:r>
                      <w:fldChar w:fldCharType="separate"/>
                    </w:r>
                    <w:r>
                      <w:rPr>
                        <w:lang w:val="zh-CN"/>
                      </w:rPr>
                      <w:t>2</w:t>
                    </w:r>
                    <w:r>
                      <w:fldChar w:fldCharType="end"/>
                    </w:r>
                  </w:p>
                  <w:p>
                    <w:pPr>
                      <w:pStyle w:val="2"/>
                    </w:pPr>
                  </w:p>
                </w:txbxContent>
              </v:textbox>
            </v:rect>
          </w:pict>
        </mc:Fallback>
      </mc:AlternateContent>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3F7F125E"/>
    <w:rsid w:val="5EBCD385"/>
    <w:rsid w:val="77F53226"/>
    <w:rsid w:val="7EFEE462"/>
    <w:rsid w:val="8FFEAB81"/>
    <w:rsid w:val="B1F3F140"/>
    <w:rsid w:val="FACCF7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等线" w:hAnsi="等线" w:eastAsia="等线" w:cs="宋体"/>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等线" w:cs="宋体"/>
      <w:kern w:val="2"/>
      <w:sz w:val="21"/>
      <w:szCs w:val="22"/>
      <w:lang w:val="en-US" w:eastAsia="zh-CN" w:bidi="ar-SA"/>
    </w:rPr>
  </w:style>
  <w:style w:type="paragraph" w:styleId="4">
    <w:name w:val="heading 1"/>
    <w:basedOn w:val="1"/>
    <w:next w:val="1"/>
    <w:link w:val="15"/>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paragraph" w:styleId="5">
    <w:name w:val="heading 3"/>
    <w:basedOn w:val="1"/>
    <w:next w:val="1"/>
    <w:link w:val="17"/>
    <w:qFormat/>
    <w:uiPriority w:val="9"/>
    <w:pPr>
      <w:keepNext/>
      <w:keepLines/>
      <w:spacing w:before="260" w:after="260" w:line="416" w:lineRule="auto"/>
      <w:outlineLvl w:val="2"/>
    </w:pPr>
    <w:rPr>
      <w:b/>
      <w:bCs/>
      <w:sz w:val="32"/>
      <w:szCs w:val="32"/>
    </w:rPr>
  </w:style>
  <w:style w:type="character" w:default="1" w:styleId="10">
    <w:name w:val="Default Paragraph Font"/>
    <w:qFormat/>
    <w:uiPriority w:val="1"/>
  </w:style>
  <w:style w:type="table" w:default="1" w:styleId="9">
    <w:name w:val="Normal Table"/>
    <w:qFormat/>
    <w:uiPriority w:val="99"/>
    <w:tblPr>
      <w:tblCellMar>
        <w:top w:w="0" w:type="dxa"/>
        <w:left w:w="108" w:type="dxa"/>
        <w:bottom w:w="0" w:type="dxa"/>
        <w:right w:w="108" w:type="dxa"/>
      </w:tblCellMar>
    </w:tblPr>
  </w:style>
  <w:style w:type="paragraph" w:styleId="2">
    <w:name w:val="Body Text First Indent 2"/>
    <w:basedOn w:val="3"/>
    <w:qFormat/>
    <w:uiPriority w:val="99"/>
    <w:pPr>
      <w:ind w:firstLine="420" w:firstLineChars="200"/>
    </w:pPr>
  </w:style>
  <w:style w:type="paragraph" w:styleId="3">
    <w:name w:val="Body Text Indent"/>
    <w:basedOn w:val="1"/>
    <w:qFormat/>
    <w:uiPriority w:val="99"/>
    <w:pPr>
      <w:spacing w:after="120" w:afterAutospacing="0"/>
      <w:ind w:left="0" w:leftChars="0"/>
    </w:pPr>
  </w:style>
  <w:style w:type="paragraph" w:styleId="6">
    <w:name w:val="footer"/>
    <w:basedOn w:val="1"/>
    <w:link w:val="14"/>
    <w:qFormat/>
    <w:uiPriority w:val="99"/>
    <w:pPr>
      <w:tabs>
        <w:tab w:val="center" w:pos="4153"/>
        <w:tab w:val="right" w:pos="8306"/>
      </w:tabs>
      <w:snapToGrid w:val="0"/>
      <w:jc w:val="left"/>
    </w:pPr>
    <w:rPr>
      <w:sz w:val="18"/>
      <w:szCs w:val="18"/>
    </w:rPr>
  </w:style>
  <w:style w:type="paragraph" w:styleId="7">
    <w:name w:val="header"/>
    <w:basedOn w:val="1"/>
    <w:link w:val="13"/>
    <w:qFormat/>
    <w:uiPriority w:val="99"/>
    <w:pPr>
      <w:tabs>
        <w:tab w:val="center" w:pos="4153"/>
        <w:tab w:val="right" w:pos="8306"/>
      </w:tabs>
      <w:snapToGrid w:val="0"/>
      <w:jc w:val="center"/>
    </w:pPr>
    <w:rPr>
      <w:sz w:val="18"/>
      <w:szCs w:val="18"/>
    </w:rPr>
  </w:style>
  <w:style w:type="paragraph" w:styleId="8">
    <w:name w:val="Normal (Web)"/>
    <w:basedOn w:val="1"/>
    <w:qFormat/>
    <w:uiPriority w:val="99"/>
    <w:pPr>
      <w:widowControl/>
      <w:spacing w:before="100" w:beforeAutospacing="1" w:after="100" w:afterAutospacing="1"/>
      <w:jc w:val="left"/>
    </w:pPr>
    <w:rPr>
      <w:rFonts w:ascii="宋体" w:hAnsi="宋体" w:eastAsia="仿宋_GB2312" w:cs="宋体"/>
      <w:kern w:val="0"/>
      <w:sz w:val="32"/>
      <w:szCs w:val="24"/>
    </w:rPr>
  </w:style>
  <w:style w:type="character" w:styleId="11">
    <w:name w:val="Strong"/>
    <w:basedOn w:val="10"/>
    <w:qFormat/>
    <w:uiPriority w:val="22"/>
    <w:rPr>
      <w:b/>
      <w:bCs/>
    </w:rPr>
  </w:style>
  <w:style w:type="character" w:styleId="12">
    <w:name w:val="Emphasis"/>
    <w:basedOn w:val="10"/>
    <w:qFormat/>
    <w:uiPriority w:val="20"/>
    <w:rPr>
      <w:i/>
      <w:iCs/>
    </w:rPr>
  </w:style>
  <w:style w:type="character" w:customStyle="1" w:styleId="13">
    <w:name w:val="页眉 字符"/>
    <w:basedOn w:val="10"/>
    <w:link w:val="7"/>
    <w:qFormat/>
    <w:uiPriority w:val="99"/>
    <w:rPr>
      <w:sz w:val="18"/>
      <w:szCs w:val="18"/>
    </w:rPr>
  </w:style>
  <w:style w:type="character" w:customStyle="1" w:styleId="14">
    <w:name w:val="页脚 字符"/>
    <w:basedOn w:val="10"/>
    <w:link w:val="6"/>
    <w:qFormat/>
    <w:uiPriority w:val="99"/>
    <w:rPr>
      <w:sz w:val="18"/>
      <w:szCs w:val="18"/>
    </w:rPr>
  </w:style>
  <w:style w:type="character" w:customStyle="1" w:styleId="15">
    <w:name w:val="标题 1 字符"/>
    <w:basedOn w:val="10"/>
    <w:link w:val="4"/>
    <w:qFormat/>
    <w:uiPriority w:val="9"/>
    <w:rPr>
      <w:rFonts w:ascii="宋体" w:hAnsi="宋体" w:eastAsia="宋体" w:cs="宋体"/>
      <w:b/>
      <w:bCs/>
      <w:kern w:val="36"/>
      <w:sz w:val="48"/>
      <w:szCs w:val="48"/>
    </w:rPr>
  </w:style>
  <w:style w:type="paragraph" w:styleId="16">
    <w:name w:val="List Paragraph"/>
    <w:basedOn w:val="1"/>
    <w:qFormat/>
    <w:uiPriority w:val="34"/>
    <w:pPr>
      <w:ind w:firstLine="420" w:firstLineChars="200"/>
    </w:pPr>
  </w:style>
  <w:style w:type="character" w:customStyle="1" w:styleId="17">
    <w:name w:val="标题 3 字符"/>
    <w:basedOn w:val="10"/>
    <w:link w:val="5"/>
    <w:qFormat/>
    <w:uiPriority w:val="9"/>
    <w:rPr>
      <w:b/>
      <w:bCs/>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6755</Words>
  <Characters>7055</Characters>
  <Paragraphs>125</Paragraphs>
  <TotalTime>40</TotalTime>
  <ScaleCrop>false</ScaleCrop>
  <LinksUpToDate>false</LinksUpToDate>
  <CharactersWithSpaces>7075</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2023-06-24T12:34:00Z</dcterms:created>
  <dc:creator>子豪 郭</dc:creator>
  <cp:lastModifiedBy>BDA</cp:lastModifiedBy>
  <cp:lastPrinted>2023-08-14T09:25:00Z</cp:lastPrinted>
  <dcterms:modified xsi:type="dcterms:W3CDTF">2023-08-21T16:13:23Z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ABE6FFC5DF0D44EDB99FB1305B43C7A9_12</vt:lpwstr>
  </property>
</Properties>
</file>