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黑体" w:eastAsia="方正小标宋简体"/>
          <w:sz w:val="44"/>
          <w:szCs w:val="44"/>
          <w:lang w:eastAsia="zh-CN"/>
        </w:rPr>
      </w:pPr>
      <w:r>
        <w:rPr>
          <w:rFonts w:hint="eastAsia" w:ascii="方正小标宋简体" w:hAnsi="黑体" w:eastAsia="方正小标宋简体"/>
          <w:sz w:val="44"/>
          <w:szCs w:val="44"/>
          <w:lang w:eastAsia="zh-CN"/>
        </w:rPr>
        <w:t>《北京经济技术开发区食品连锁经营企业</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黑体" w:eastAsia="方正小标宋简体"/>
          <w:sz w:val="44"/>
          <w:szCs w:val="44"/>
          <w:lang w:eastAsia="zh-CN"/>
        </w:rPr>
      </w:pPr>
      <w:r>
        <w:rPr>
          <w:rFonts w:hint="eastAsia" w:ascii="方正小标宋简体" w:hAnsi="黑体" w:eastAsia="方正小标宋简体"/>
          <w:sz w:val="44"/>
          <w:szCs w:val="44"/>
          <w:lang w:eastAsia="zh-CN"/>
        </w:rPr>
        <w:t>“一证多址”改革实施方案（</w:t>
      </w:r>
      <w:r>
        <w:rPr>
          <w:rFonts w:hint="eastAsia" w:ascii="方正小标宋简体" w:hAnsi="黑体" w:eastAsia="方正小标宋简体"/>
          <w:sz w:val="44"/>
          <w:szCs w:val="44"/>
          <w:lang w:val="en-US" w:eastAsia="zh-CN"/>
        </w:rPr>
        <w:t>征求意见稿</w:t>
      </w:r>
      <w:r>
        <w:rPr>
          <w:rFonts w:hint="eastAsia" w:ascii="方正小标宋简体" w:hAnsi="黑体" w:eastAsia="方正小标宋简体"/>
          <w:sz w:val="44"/>
          <w:szCs w:val="44"/>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黑体" w:eastAsia="方正小标宋简体"/>
          <w:sz w:val="44"/>
          <w:szCs w:val="44"/>
          <w:lang w:eastAsia="zh-CN"/>
        </w:rPr>
      </w:pPr>
      <w:r>
        <w:rPr>
          <w:rFonts w:hint="eastAsia" w:ascii="方正小标宋简体" w:hAnsi="黑体" w:eastAsia="方正小标宋简体"/>
          <w:sz w:val="44"/>
          <w:szCs w:val="44"/>
          <w:lang w:eastAsia="zh-CN"/>
        </w:rPr>
        <w:t>的起草说明</w:t>
      </w:r>
    </w:p>
    <w:p>
      <w:pPr>
        <w:keepNext w:val="0"/>
        <w:keepLines w:val="0"/>
        <w:pageBreakBefore w:val="0"/>
        <w:widowControl w:val="0"/>
        <w:kinsoku/>
        <w:wordWrap/>
        <w:overflowPunct/>
        <w:topLinePunct w:val="0"/>
        <w:autoSpaceDE/>
        <w:autoSpaceDN/>
        <w:bidi w:val="0"/>
        <w:adjustRightInd/>
        <w:snapToGrid/>
        <w:spacing w:line="560" w:lineRule="exact"/>
        <w:textAlignment w:val="auto"/>
      </w:pPr>
    </w:p>
    <w:p>
      <w:pPr>
        <w:pStyle w:val="6"/>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为进一步深化“放管服”改革，推动食品经营领域审批便利化，</w:t>
      </w:r>
      <w:r>
        <w:rPr>
          <w:rFonts w:hint="eastAsia" w:ascii="仿宋_GB2312" w:eastAsia="仿宋_GB2312"/>
          <w:sz w:val="32"/>
          <w:szCs w:val="32"/>
          <w:lang w:val="en-US" w:eastAsia="zh-CN"/>
        </w:rPr>
        <w:t>总结改革试点的实施情况，调研相关企业需求及建议，结合</w:t>
      </w:r>
      <w:r>
        <w:rPr>
          <w:rFonts w:hint="eastAsia" w:ascii="仿宋_GB2312" w:eastAsia="仿宋_GB2312"/>
          <w:sz w:val="32"/>
          <w:szCs w:val="32"/>
          <w:lang w:eastAsia="zh-CN"/>
        </w:rPr>
        <w:t>北京经济技术开发区（以下简称“经开区”）实际，</w:t>
      </w:r>
      <w:r>
        <w:rPr>
          <w:rFonts w:hint="eastAsia" w:ascii="仿宋_GB2312" w:eastAsia="仿宋_GB2312"/>
          <w:sz w:val="32"/>
          <w:szCs w:val="32"/>
          <w:lang w:val="en-US" w:eastAsia="zh-CN"/>
        </w:rPr>
        <w:t>对《北京经济技术开发区食品连锁经营企业“一证多址”改革实施方案（征求意见稿）》进行了修订</w:t>
      </w:r>
      <w:r>
        <w:rPr>
          <w:rFonts w:hint="eastAsia" w:ascii="仿宋_GB2312" w:eastAsia="仿宋_GB2312"/>
          <w:sz w:val="32"/>
          <w:szCs w:val="32"/>
          <w:lang w:eastAsia="zh-CN"/>
        </w:rPr>
        <w:t>。（以下简称《</w:t>
      </w:r>
      <w:r>
        <w:rPr>
          <w:rFonts w:hint="eastAsia" w:ascii="仿宋_GB2312" w:eastAsia="仿宋_GB2312"/>
          <w:sz w:val="32"/>
          <w:szCs w:val="32"/>
          <w:lang w:val="en-US" w:eastAsia="zh-CN"/>
        </w:rPr>
        <w:t>实施</w:t>
      </w:r>
      <w:r>
        <w:rPr>
          <w:rFonts w:hint="eastAsia" w:ascii="仿宋_GB2312" w:eastAsia="仿宋_GB2312"/>
          <w:sz w:val="32"/>
          <w:szCs w:val="32"/>
          <w:lang w:eastAsia="zh-CN"/>
        </w:rPr>
        <w:t>方案》）</w:t>
      </w:r>
      <w:r>
        <w:rPr>
          <w:rFonts w:hint="eastAsia" w:ascii="仿宋_GB2312" w:eastAsia="仿宋_GB2312"/>
          <w:sz w:val="32"/>
          <w:szCs w:val="32"/>
        </w:rPr>
        <w:t>，现将有关情况</w:t>
      </w:r>
      <w:r>
        <w:rPr>
          <w:rFonts w:hint="eastAsia" w:ascii="仿宋_GB2312" w:eastAsia="仿宋_GB2312"/>
          <w:sz w:val="32"/>
          <w:szCs w:val="32"/>
          <w:lang w:eastAsia="zh-CN"/>
        </w:rPr>
        <w:t>说明</w:t>
      </w:r>
      <w:r>
        <w:rPr>
          <w:rFonts w:hint="eastAsia" w:ascii="仿宋_GB2312" w:eastAsia="仿宋_GB2312"/>
          <w:sz w:val="32"/>
          <w:szCs w:val="32"/>
        </w:rPr>
        <w:t>如下：</w:t>
      </w:r>
    </w:p>
    <w:p>
      <w:pPr>
        <w:pStyle w:val="6"/>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一</w:t>
      </w:r>
      <w:r>
        <w:rPr>
          <w:rFonts w:hint="eastAsia" w:ascii="黑体" w:hAnsi="黑体" w:eastAsia="黑体" w:cs="黑体"/>
          <w:sz w:val="32"/>
          <w:szCs w:val="32"/>
        </w:rPr>
        <w:t>、</w:t>
      </w:r>
      <w:r>
        <w:rPr>
          <w:rFonts w:hint="eastAsia" w:ascii="黑体" w:hAnsi="黑体" w:eastAsia="黑体" w:cs="黑体"/>
          <w:sz w:val="32"/>
          <w:szCs w:val="32"/>
          <w:lang w:eastAsia="zh-CN"/>
        </w:rPr>
        <w:t>制定背景及依据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为贯彻落实《北京市全面优化营商环境助力企业高质量发展实施方案》要求，进一步深化“放管服”改革，以市场主体信用为基础，通过优化服务流程、提升审批效能、强化监督管理，进一步深化“一证多址”改革，推动食品连锁经营企业审批极简化、便利化，推广克隆开店“秒批”模式，大幅缩短审批时限，实现食品连锁经营企业集成审批、集成管理，构建政府、社会、企业多元共治格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黑体" w:hAnsi="黑体" w:eastAsia="黑体"/>
          <w:sz w:val="32"/>
          <w:szCs w:val="32"/>
        </w:rPr>
      </w:pPr>
      <w:r>
        <w:rPr>
          <w:rFonts w:hint="eastAsia" w:ascii="黑体" w:hAnsi="黑体" w:eastAsia="黑体"/>
          <w:sz w:val="32"/>
          <w:szCs w:val="32"/>
        </w:rPr>
        <w:t>二、主要内容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实施</w:t>
      </w:r>
      <w:r>
        <w:rPr>
          <w:rFonts w:hint="eastAsia" w:ascii="仿宋_GB2312" w:hAnsi="仿宋_GB2312" w:eastAsia="仿宋_GB2312" w:cs="仿宋_GB2312"/>
          <w:sz w:val="32"/>
          <w:szCs w:val="32"/>
          <w:lang w:eastAsia="zh-CN"/>
        </w:rPr>
        <w:t>方案</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4大部分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项。对</w:t>
      </w:r>
      <w:r>
        <w:rPr>
          <w:rFonts w:hint="eastAsia" w:ascii="仿宋_GB2312" w:eastAsia="仿宋_GB2312"/>
          <w:sz w:val="32"/>
          <w:szCs w:val="32"/>
        </w:rPr>
        <w:t>食品连锁经营企业“一证多址”</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工作要求和</w:t>
      </w:r>
      <w:r>
        <w:rPr>
          <w:rFonts w:hint="eastAsia" w:ascii="仿宋_GB2312" w:hAnsi="仿宋_GB2312" w:eastAsia="仿宋_GB2312" w:cs="仿宋_GB2312"/>
          <w:sz w:val="32"/>
          <w:szCs w:val="32"/>
        </w:rPr>
        <w:t>目</w:t>
      </w:r>
      <w:r>
        <w:rPr>
          <w:rFonts w:hint="eastAsia" w:ascii="仿宋_GB2312" w:hAnsi="仿宋_GB2312" w:eastAsia="仿宋_GB2312" w:cs="仿宋_GB2312"/>
          <w:sz w:val="32"/>
          <w:szCs w:val="32"/>
          <w:lang w:eastAsia="zh-CN"/>
        </w:rPr>
        <w:t>标</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定义和实施范围</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办理流程</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工作要求</w:t>
      </w:r>
      <w:r>
        <w:rPr>
          <w:rFonts w:hint="eastAsia" w:ascii="仿宋_GB2312" w:hAnsi="仿宋_GB2312" w:eastAsia="仿宋_GB2312" w:cs="仿宋_GB2312"/>
          <w:sz w:val="32"/>
          <w:szCs w:val="32"/>
        </w:rPr>
        <w:t>进行了</w:t>
      </w:r>
      <w:r>
        <w:rPr>
          <w:rFonts w:hint="eastAsia" w:ascii="仿宋_GB2312" w:hAnsi="仿宋_GB2312" w:eastAsia="仿宋_GB2312" w:cs="仿宋_GB2312"/>
          <w:sz w:val="32"/>
          <w:szCs w:val="32"/>
          <w:lang w:val="en-US" w:eastAsia="zh-CN"/>
        </w:rPr>
        <w:t>说明</w:t>
      </w:r>
      <w:r>
        <w:rPr>
          <w:rFonts w:hint="eastAsia" w:ascii="仿宋_GB2312" w:hAnsi="仿宋_GB2312" w:eastAsia="仿宋_GB2312" w:cs="仿宋_GB2312"/>
          <w:sz w:val="32"/>
          <w:szCs w:val="32"/>
        </w:rPr>
        <w:t>。</w:t>
      </w:r>
    </w:p>
    <w:p>
      <w:pPr>
        <w:pStyle w:val="3"/>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color w:val="000000"/>
          <w:sz w:val="32"/>
          <w:szCs w:val="32"/>
          <w:lang w:val="en-US" w:eastAsia="zh-CN"/>
        </w:rPr>
      </w:pPr>
      <w:r>
        <w:rPr>
          <w:rFonts w:hint="eastAsia" w:ascii="楷体_GB2312" w:hAnsi="楷体_GB2312" w:eastAsia="楷体_GB2312" w:cs="楷体_GB2312"/>
          <w:color w:val="000000"/>
          <w:sz w:val="32"/>
          <w:szCs w:val="32"/>
          <w:lang w:eastAsia="zh-CN"/>
        </w:rPr>
        <w:t>（</w:t>
      </w:r>
      <w:r>
        <w:rPr>
          <w:rFonts w:hint="eastAsia" w:ascii="楷体_GB2312" w:hAnsi="楷体_GB2312" w:eastAsia="楷体_GB2312" w:cs="楷体_GB2312"/>
          <w:color w:val="000000"/>
          <w:sz w:val="32"/>
          <w:szCs w:val="32"/>
          <w:lang w:val="en-US" w:eastAsia="zh-CN"/>
        </w:rPr>
        <w:t>一</w:t>
      </w:r>
      <w:r>
        <w:rPr>
          <w:rFonts w:hint="eastAsia" w:ascii="楷体_GB2312" w:hAnsi="楷体_GB2312" w:eastAsia="楷体_GB2312" w:cs="楷体_GB2312"/>
          <w:color w:val="000000"/>
          <w:sz w:val="32"/>
          <w:szCs w:val="32"/>
          <w:lang w:eastAsia="zh-CN"/>
        </w:rPr>
        <w:t>）</w:t>
      </w:r>
      <w:r>
        <w:rPr>
          <w:rFonts w:hint="eastAsia" w:ascii="楷体_GB2312" w:hAnsi="楷体_GB2312" w:eastAsia="楷体_GB2312" w:cs="楷体_GB2312"/>
          <w:color w:val="000000"/>
          <w:sz w:val="32"/>
          <w:szCs w:val="32"/>
          <w:lang w:val="en-US" w:eastAsia="zh-CN"/>
        </w:rPr>
        <w:t>定义</w:t>
      </w:r>
    </w:p>
    <w:p>
      <w:pPr>
        <w:pStyle w:val="3"/>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食品连锁经营企业“一证多址”，是指对于在采购配送、经营管理、质量管控等方面达到一定标准的食品连锁经营企业（含超市、便利店、普通餐饮等业态，仅限直营连锁），在经开区经营一家或多家直营门店时，审批部门依信用情况予以“秒批”办理。</w:t>
      </w:r>
    </w:p>
    <w:p>
      <w:pPr>
        <w:pStyle w:val="3"/>
        <w:pageBreakBefore w:val="0"/>
        <w:widowControl w:val="0"/>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color w:val="000000"/>
          <w:sz w:val="32"/>
          <w:szCs w:val="32"/>
          <w:lang w:eastAsia="zh-CN"/>
        </w:rPr>
      </w:pPr>
      <w:r>
        <w:rPr>
          <w:rFonts w:hint="eastAsia" w:ascii="楷体_GB2312" w:hAnsi="楷体_GB2312" w:eastAsia="楷体_GB2312" w:cs="楷体_GB2312"/>
          <w:color w:val="000000"/>
          <w:sz w:val="32"/>
          <w:szCs w:val="32"/>
          <w:lang w:eastAsia="zh-CN"/>
        </w:rPr>
        <w:t>（二）目的和意义</w:t>
      </w:r>
    </w:p>
    <w:p>
      <w:pPr>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_GB2312" w:hAnsi="仿宋_GB2312" w:eastAsia="仿宋_GB2312" w:cs="仿宋_GB2312"/>
          <w:color w:val="000000"/>
          <w:sz w:val="32"/>
          <w:szCs w:val="32"/>
        </w:rPr>
      </w:pPr>
      <w:r>
        <w:rPr>
          <w:rFonts w:hint="eastAsia" w:ascii="Times New Roman" w:hAnsi="Times New Roman" w:eastAsia="仿宋_GB2312" w:cs="宋体"/>
          <w:b/>
          <w:bCs/>
          <w:color w:val="000000"/>
          <w:sz w:val="32"/>
          <w:szCs w:val="32"/>
        </w:rPr>
        <w:t>一是</w:t>
      </w:r>
      <w:r>
        <w:rPr>
          <w:rFonts w:hint="eastAsia" w:ascii="Times New Roman" w:hAnsi="Times New Roman" w:eastAsia="仿宋_GB2312" w:cs="宋体"/>
          <w:bCs/>
          <w:color w:val="000000"/>
          <w:sz w:val="32"/>
          <w:szCs w:val="32"/>
        </w:rPr>
        <w:t>基于对</w:t>
      </w:r>
      <w:r>
        <w:rPr>
          <w:rFonts w:hint="eastAsia" w:ascii="仿宋_GB2312" w:hAnsi="仿宋_GB2312" w:eastAsia="仿宋_GB2312" w:cs="仿宋_GB2312"/>
          <w:color w:val="000000"/>
          <w:sz w:val="32"/>
          <w:szCs w:val="32"/>
        </w:rPr>
        <w:t>食品连锁经营企业内部经营管理和质量管控体系的信任，通过优化审批服务，推广克隆开店“秒批”模式，提升审批对促进经开区产城融合发展、提升城市建设水平的支撑保障作用。</w:t>
      </w:r>
    </w:p>
    <w:p>
      <w:pPr>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_GB2312" w:hAnsi="仿宋_GB2312" w:eastAsia="仿宋_GB2312" w:cs="仿宋_GB2312"/>
          <w:color w:val="000000"/>
          <w:sz w:val="32"/>
          <w:szCs w:val="32"/>
        </w:rPr>
      </w:pPr>
      <w:r>
        <w:rPr>
          <w:rFonts w:hint="eastAsia" w:ascii="仿宋_GB2312" w:hAnsi="仿宋_GB2312" w:eastAsia="仿宋_GB2312" w:cs="仿宋_GB2312"/>
          <w:b/>
          <w:bCs/>
          <w:color w:val="000000"/>
          <w:sz w:val="32"/>
          <w:szCs w:val="32"/>
        </w:rPr>
        <w:t>二是</w:t>
      </w:r>
      <w:r>
        <w:rPr>
          <w:rFonts w:hint="eastAsia" w:ascii="仿宋_GB2312" w:hAnsi="仿宋_GB2312" w:eastAsia="仿宋_GB2312" w:cs="仿宋_GB2312"/>
          <w:color w:val="000000"/>
          <w:sz w:val="32"/>
          <w:szCs w:val="32"/>
        </w:rPr>
        <w:t>将食品连锁经营企业在辖区开设直营门店情况进行汇总集合，实现事前集成审批、事中集成管理，提升对类型化企业的个性化审批服务和管理水平。</w:t>
      </w:r>
    </w:p>
    <w:p>
      <w:pPr>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color w:val="000000"/>
          <w:sz w:val="32"/>
          <w:szCs w:val="32"/>
        </w:rPr>
        <w:t>三是</w:t>
      </w:r>
      <w:r>
        <w:rPr>
          <w:rFonts w:hint="eastAsia" w:ascii="仿宋_GB2312" w:hAnsi="仿宋_GB2312" w:eastAsia="仿宋_GB2312" w:cs="仿宋_GB2312"/>
          <w:color w:val="000000"/>
          <w:sz w:val="32"/>
          <w:szCs w:val="32"/>
        </w:rPr>
        <w:t>强化落实连锁经营企业的行业自律和自身内部管理责任，构建政府、社会、企业协同共治模式。</w:t>
      </w:r>
    </w:p>
    <w:p>
      <w:pPr>
        <w:pStyle w:val="4"/>
        <w:pageBreakBefore w:val="0"/>
        <w:widowControl w:val="0"/>
        <w:kinsoku/>
        <w:wordWrap/>
        <w:overflowPunct/>
        <w:topLinePunct w:val="0"/>
        <w:autoSpaceDE/>
        <w:autoSpaceDN/>
        <w:bidi w:val="0"/>
        <w:adjustRightInd/>
        <w:snapToGrid/>
        <w:spacing w:line="560" w:lineRule="exact"/>
        <w:textAlignment w:val="auto"/>
        <w:rPr>
          <w:rFonts w:hint="default" w:ascii="楷体_GB2312" w:hAnsi="楷体_GB2312" w:eastAsia="楷体_GB2312" w:cs="楷体_GB2312"/>
          <w:lang w:val="en-US" w:eastAsia="zh-CN"/>
        </w:rPr>
      </w:pPr>
      <w:r>
        <w:rPr>
          <w:rFonts w:hint="eastAsia" w:ascii="楷体_GB2312" w:hAnsi="楷体_GB2312" w:eastAsia="楷体_GB2312" w:cs="楷体_GB2312"/>
          <w:lang w:val="en-US" w:eastAsia="zh-CN"/>
        </w:rPr>
        <w:t>（三）改革内容</w:t>
      </w:r>
    </w:p>
    <w:p>
      <w:pPr>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color w:val="000000"/>
          <w:sz w:val="32"/>
          <w:szCs w:val="32"/>
          <w:lang w:eastAsia="zh-CN"/>
        </w:rPr>
      </w:pPr>
      <w:r>
        <w:rPr>
          <w:rFonts w:hint="eastAsia" w:ascii="仿宋_GB2312" w:hAnsi="仿宋_GB2312" w:eastAsia="仿宋_GB2312" w:cs="仿宋_GB2312"/>
          <w:b/>
          <w:bCs/>
          <w:color w:val="000000"/>
          <w:sz w:val="32"/>
          <w:szCs w:val="32"/>
          <w:lang w:eastAsia="zh-CN"/>
        </w:rPr>
        <w:t>一是明确纳入改革的范围和条件。</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1.试点</w:t>
      </w:r>
      <w:r>
        <w:rPr>
          <w:rFonts w:hint="eastAsia" w:ascii="仿宋_GB2312" w:hAnsi="仿宋_GB2312" w:eastAsia="仿宋_GB2312" w:cs="仿宋_GB2312"/>
          <w:color w:val="000000"/>
          <w:sz w:val="32"/>
          <w:szCs w:val="32"/>
          <w:lang w:eastAsia="zh-CN"/>
        </w:rPr>
        <w:t>区域</w:t>
      </w:r>
      <w:r>
        <w:rPr>
          <w:rFonts w:hint="eastAsia" w:ascii="仿宋_GB2312" w:hAnsi="仿宋_GB2312" w:eastAsia="仿宋_GB2312" w:cs="仿宋_GB2312"/>
          <w:color w:val="000000"/>
          <w:sz w:val="32"/>
          <w:szCs w:val="32"/>
        </w:rPr>
        <w:t>范围</w:t>
      </w:r>
      <w:r>
        <w:rPr>
          <w:rFonts w:hint="eastAsia" w:ascii="仿宋_GB2312" w:hAnsi="仿宋_GB2312" w:eastAsia="仿宋_GB2312" w:cs="仿宋_GB2312"/>
          <w:color w:val="000000"/>
          <w:sz w:val="32"/>
          <w:szCs w:val="32"/>
          <w:lang w:eastAsia="zh-CN"/>
        </w:rPr>
        <w:t>覆盖</w:t>
      </w:r>
      <w:r>
        <w:rPr>
          <w:rFonts w:hint="eastAsia" w:ascii="仿宋_GB2312" w:hAnsi="仿宋_GB2312" w:eastAsia="仿宋_GB2312" w:cs="仿宋_GB2312"/>
          <w:color w:val="000000"/>
          <w:sz w:val="32"/>
          <w:szCs w:val="32"/>
        </w:rPr>
        <w:t>亦庄新城</w:t>
      </w:r>
      <w:r>
        <w:rPr>
          <w:rFonts w:hint="eastAsia" w:ascii="仿宋_GB2312" w:hAnsi="仿宋_GB2312" w:eastAsia="仿宋_GB2312" w:cs="仿宋_GB2312"/>
          <w:color w:val="000000"/>
          <w:sz w:val="32"/>
          <w:szCs w:val="32"/>
          <w:lang w:val="en-US" w:eastAsia="zh-CN"/>
        </w:rPr>
        <w:t>225平方公里范围；适用食品连锁经营企业在亦庄新城新设直营门店或对已有直营门店办理变更、延续</w:t>
      </w:r>
      <w:r>
        <w:rPr>
          <w:rFonts w:hint="eastAsia" w:ascii="仿宋_GB2312" w:hAnsi="仿宋_GB2312" w:eastAsia="仿宋_GB2312" w:cs="仿宋_GB2312"/>
          <w:color w:val="000000"/>
          <w:sz w:val="32"/>
          <w:szCs w:val="32"/>
        </w:rPr>
        <w:t>；</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宋体" w:eastAsia="仿宋_GB2312" w:cs="仿宋_GB2312"/>
          <w:color w:val="000000"/>
          <w:sz w:val="32"/>
          <w:szCs w:val="30"/>
        </w:rPr>
      </w:pPr>
      <w:r>
        <w:rPr>
          <w:rFonts w:hint="eastAsia" w:ascii="仿宋_GB2312" w:hAnsi="宋体" w:eastAsia="仿宋_GB2312" w:cs="仿宋_GB2312"/>
          <w:color w:val="000000"/>
          <w:sz w:val="32"/>
          <w:szCs w:val="30"/>
        </w:rPr>
        <w:t>2.食品连锁经营企业在北京市注册，并在北京市范围内已有10家以上直营门店；</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宋体" w:eastAsia="仿宋_GB2312" w:cs="仿宋_GB2312"/>
          <w:color w:val="000000"/>
          <w:sz w:val="32"/>
          <w:szCs w:val="30"/>
        </w:rPr>
      </w:pPr>
      <w:r>
        <w:rPr>
          <w:rFonts w:hint="eastAsia" w:ascii="仿宋_GB2312" w:hAnsi="宋体" w:eastAsia="仿宋_GB2312" w:cs="仿宋_GB2312"/>
          <w:color w:val="000000"/>
          <w:sz w:val="32"/>
          <w:szCs w:val="30"/>
        </w:rPr>
        <w:t>3.在北京市范围内使用统一商号（字号）、实行统一采购配送和统一规范经营管理，具备健全的质量管理体系和专业的管理团队；</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宋体" w:eastAsia="仿宋_GB2312" w:cs="仿宋_GB2312"/>
          <w:color w:val="000000"/>
          <w:sz w:val="32"/>
          <w:szCs w:val="30"/>
        </w:rPr>
      </w:pPr>
      <w:r>
        <w:rPr>
          <w:rFonts w:hint="eastAsia" w:ascii="仿宋_GB2312" w:hAnsi="宋体" w:eastAsia="仿宋_GB2312" w:cs="仿宋_GB2312"/>
          <w:color w:val="000000"/>
          <w:sz w:val="32"/>
          <w:szCs w:val="30"/>
        </w:rPr>
        <w:t>4.各直营门店与食品连锁经营企业之间、各直营门店之间的经营项目、工艺流程布局、设备设施相同或相近；</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color w:val="000000"/>
          <w:sz w:val="32"/>
          <w:szCs w:val="32"/>
        </w:rPr>
      </w:pPr>
      <w:r>
        <w:rPr>
          <w:rFonts w:hint="eastAsia" w:ascii="仿宋_GB2312" w:hAnsi="宋体" w:eastAsia="仿宋_GB2312" w:cs="仿宋_GB2312"/>
          <w:color w:val="000000"/>
          <w:sz w:val="32"/>
          <w:szCs w:val="30"/>
        </w:rPr>
        <w:t>5.应当符合</w:t>
      </w:r>
      <w:r>
        <w:rPr>
          <w:rFonts w:hint="eastAsia" w:ascii="仿宋_GB2312" w:hAnsi="宋体" w:eastAsia="仿宋_GB2312" w:cs="仿宋_GB2312"/>
          <w:color w:val="000000"/>
          <w:sz w:val="32"/>
          <w:szCs w:val="30"/>
          <w:lang w:eastAsia="zh-CN"/>
        </w:rPr>
        <w:t>法律法规</w:t>
      </w:r>
      <w:r>
        <w:rPr>
          <w:rFonts w:ascii="仿宋_GB2312" w:hAnsi="仿宋_GB2312" w:eastAsia="仿宋_GB2312" w:cs="仿宋_GB2312"/>
          <w:color w:val="000000"/>
          <w:sz w:val="32"/>
          <w:szCs w:val="32"/>
        </w:rPr>
        <w:t>规定</w:t>
      </w:r>
      <w:r>
        <w:rPr>
          <w:rFonts w:hint="eastAsia" w:ascii="仿宋_GB2312" w:hAnsi="仿宋_GB2312" w:eastAsia="仿宋_GB2312" w:cs="仿宋_GB2312"/>
          <w:color w:val="000000"/>
          <w:sz w:val="32"/>
          <w:szCs w:val="32"/>
        </w:rPr>
        <w:t>的基本条件。</w:t>
      </w:r>
      <w:r>
        <w:rPr>
          <w:rFonts w:hint="eastAsia" w:ascii="仿宋_GB2312" w:hAnsi="仿宋_GB2312" w:eastAsia="仿宋_GB2312" w:cs="仿宋_GB2312"/>
          <w:color w:val="000000"/>
          <w:sz w:val="32"/>
          <w:szCs w:val="32"/>
          <w:lang w:eastAsia="zh-CN"/>
        </w:rPr>
        <w:t>此外，还规定了“除外”情形：</w:t>
      </w:r>
      <w:r>
        <w:rPr>
          <w:rFonts w:hint="eastAsia" w:ascii="仿宋_GB2312" w:hAnsi="仿宋_GB2312" w:eastAsia="仿宋_GB2312" w:cs="仿宋_GB2312"/>
          <w:color w:val="000000"/>
          <w:sz w:val="32"/>
          <w:szCs w:val="32"/>
        </w:rPr>
        <w:t>对于大型及以上餐饮</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中央厨房、集体用餐配送单位等业态，风险等级高、信用差的企业，</w:t>
      </w:r>
      <w:r>
        <w:rPr>
          <w:rFonts w:hint="eastAsia" w:ascii="仿宋_GB2312" w:hAnsi="仿宋_GB2312" w:eastAsia="仿宋_GB2312" w:cs="仿宋_GB2312"/>
          <w:color w:val="000000"/>
          <w:sz w:val="32"/>
          <w:szCs w:val="32"/>
          <w:lang w:eastAsia="zh-CN"/>
        </w:rPr>
        <w:t>以及</w:t>
      </w:r>
      <w:r>
        <w:rPr>
          <w:rFonts w:hint="eastAsia" w:ascii="仿宋_GB2312" w:hAnsi="仿宋_GB2312" w:eastAsia="仿宋_GB2312" w:cs="仿宋_GB2312"/>
          <w:color w:val="000000"/>
          <w:sz w:val="32"/>
          <w:szCs w:val="32"/>
        </w:rPr>
        <w:t>有较严重的不良信用记录或者存在曾作出虚假承诺等情形且信用未修复的企业等，不适用“一证多址”改革。</w:t>
      </w:r>
    </w:p>
    <w:p>
      <w:pPr>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color w:val="000000"/>
          <w:sz w:val="32"/>
          <w:szCs w:val="32"/>
          <w:lang w:eastAsia="zh-CN"/>
        </w:rPr>
      </w:pPr>
      <w:r>
        <w:rPr>
          <w:rFonts w:hint="eastAsia" w:ascii="仿宋_GB2312" w:hAnsi="仿宋_GB2312" w:eastAsia="仿宋_GB2312" w:cs="仿宋_GB2312"/>
          <w:b/>
          <w:bCs/>
          <w:color w:val="000000"/>
          <w:sz w:val="32"/>
          <w:szCs w:val="32"/>
          <w:lang w:eastAsia="zh-CN"/>
        </w:rPr>
        <w:t>二是明确办理流程。</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申请和资格审查。食品连锁经营企业按照自愿原则，</w:t>
      </w:r>
      <w:r>
        <w:rPr>
          <w:rFonts w:hint="eastAsia" w:ascii="仿宋_GB2312" w:hAnsi="仿宋_GB2312" w:eastAsia="仿宋_GB2312" w:cs="仿宋_GB2312"/>
          <w:color w:val="000000"/>
          <w:sz w:val="32"/>
          <w:szCs w:val="32"/>
          <w:lang w:eastAsia="zh-CN"/>
        </w:rPr>
        <w:t>向</w:t>
      </w:r>
      <w:r>
        <w:rPr>
          <w:rFonts w:hint="eastAsia" w:ascii="仿宋_GB2312" w:hAnsi="仿宋_GB2312" w:eastAsia="仿宋_GB2312" w:cs="仿宋_GB2312"/>
          <w:color w:val="000000"/>
          <w:sz w:val="32"/>
          <w:szCs w:val="32"/>
        </w:rPr>
        <w:t>审批部门提出“一证多址”资格申请</w:t>
      </w:r>
      <w:r>
        <w:rPr>
          <w:rFonts w:hint="eastAsia" w:ascii="仿宋_GB2312" w:hAnsi="仿宋_GB2312" w:eastAsia="仿宋_GB2312" w:cs="仿宋_GB2312"/>
          <w:color w:val="000000"/>
          <w:sz w:val="32"/>
          <w:szCs w:val="32"/>
          <w:lang w:eastAsia="zh-CN"/>
        </w:rPr>
        <w:t>。资格申请</w:t>
      </w:r>
      <w:r>
        <w:rPr>
          <w:rFonts w:hint="eastAsia" w:ascii="仿宋_GB2312" w:hAnsi="仿宋_GB2312" w:eastAsia="仿宋_GB2312" w:cs="仿宋_GB2312"/>
          <w:color w:val="000000"/>
          <w:sz w:val="32"/>
          <w:szCs w:val="32"/>
        </w:rPr>
        <w:t>可以单独提出，也可以在新办、变更或延续直营门店时同步提出申请。</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rPr>
        <w:t>制发《综合许可资格证》。资格审查合格</w:t>
      </w:r>
      <w:r>
        <w:rPr>
          <w:rFonts w:hint="eastAsia" w:ascii="仿宋_GB2312" w:hAnsi="仿宋_GB2312" w:eastAsia="仿宋_GB2312" w:cs="仿宋_GB2312"/>
          <w:color w:val="000000"/>
          <w:sz w:val="32"/>
          <w:szCs w:val="32"/>
          <w:lang w:eastAsia="zh-CN"/>
        </w:rPr>
        <w:t>后</w:t>
      </w:r>
      <w:r>
        <w:rPr>
          <w:rFonts w:hint="eastAsia" w:ascii="仿宋_GB2312" w:hAnsi="仿宋_GB2312" w:eastAsia="仿宋_GB2312" w:cs="仿宋_GB2312"/>
          <w:color w:val="000000"/>
          <w:sz w:val="32"/>
          <w:szCs w:val="32"/>
        </w:rPr>
        <w:t>，审批部门向食品连锁经营企业发放《综合许可资格证》，授予其在区域内开设直营门店或已有直营门店变更、延续时可以信用“秒批”的资格，原则上有效期5年</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随食品连锁经营企业</w:t>
      </w:r>
      <w:r>
        <w:rPr>
          <w:rFonts w:hint="eastAsia" w:ascii="仿宋_GB2312" w:hAnsi="仿宋_GB2312" w:eastAsia="仿宋_GB2312" w:cs="仿宋_GB2312"/>
          <w:color w:val="000000"/>
          <w:sz w:val="32"/>
          <w:szCs w:val="32"/>
          <w:lang w:eastAsia="zh-CN"/>
        </w:rPr>
        <w:t>许可证有效期以及</w:t>
      </w:r>
      <w:r>
        <w:rPr>
          <w:rFonts w:hint="eastAsia" w:ascii="仿宋_GB2312" w:hAnsi="仿宋_GB2312" w:eastAsia="仿宋_GB2312" w:cs="仿宋_GB2312"/>
          <w:color w:val="000000"/>
          <w:sz w:val="32"/>
          <w:szCs w:val="32"/>
        </w:rPr>
        <w:t>改革试点情况</w:t>
      </w:r>
      <w:r>
        <w:rPr>
          <w:rFonts w:hint="eastAsia" w:ascii="仿宋_GB2312" w:hAnsi="仿宋_GB2312" w:eastAsia="仿宋_GB2312" w:cs="仿宋_GB2312"/>
          <w:color w:val="000000"/>
          <w:sz w:val="32"/>
          <w:szCs w:val="32"/>
          <w:lang w:eastAsia="zh-CN"/>
        </w:rPr>
        <w:t>适时</w:t>
      </w:r>
      <w:r>
        <w:rPr>
          <w:rFonts w:hint="eastAsia" w:ascii="仿宋_GB2312" w:hAnsi="仿宋_GB2312" w:eastAsia="仿宋_GB2312" w:cs="仿宋_GB2312"/>
          <w:color w:val="000000"/>
          <w:sz w:val="32"/>
          <w:szCs w:val="32"/>
        </w:rPr>
        <w:t>调整。</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s="仿宋"/>
          <w:color w:val="000000"/>
          <w:sz w:val="32"/>
          <w:szCs w:val="32"/>
          <w:lang w:eastAsia="zh-CN"/>
        </w:rPr>
      </w:pPr>
      <w:r>
        <w:rPr>
          <w:rFonts w:hint="eastAsia" w:ascii="仿宋_GB2312" w:hAnsi="仿宋_GB2312" w:eastAsia="仿宋_GB2312" w:cs="仿宋_GB2312"/>
          <w:color w:val="000000"/>
          <w:sz w:val="32"/>
          <w:szCs w:val="32"/>
          <w:lang w:val="en-US" w:eastAsia="zh-CN"/>
        </w:rPr>
        <w:t>3.新办/变更/延续直营门店</w:t>
      </w:r>
      <w:r>
        <w:rPr>
          <w:rFonts w:hint="eastAsia" w:ascii="仿宋_GB2312" w:hAnsi="仿宋_GB2312" w:eastAsia="仿宋_GB2312" w:cs="仿宋_GB2312"/>
          <w:color w:val="000000"/>
          <w:sz w:val="32"/>
          <w:szCs w:val="32"/>
        </w:rPr>
        <w:t>。</w:t>
      </w:r>
      <w:r>
        <w:rPr>
          <w:rFonts w:hint="eastAsia" w:ascii="仿宋_GB2312" w:hAnsi="仿宋" w:eastAsia="仿宋_GB2312" w:cs="仿宋"/>
          <w:color w:val="000000"/>
          <w:sz w:val="32"/>
          <w:szCs w:val="32"/>
        </w:rPr>
        <w:t>选择“一证多址”方式办理时，审批部门通过事前技术指导实施“秒批”，并将直营门店信息记载至《综合许可资格证》二维码中</w:t>
      </w:r>
      <w:r>
        <w:rPr>
          <w:rFonts w:hint="eastAsia" w:ascii="仿宋_GB2312" w:hAnsi="仿宋" w:eastAsia="仿宋_GB2312" w:cs="仿宋"/>
          <w:color w:val="000000"/>
          <w:sz w:val="32"/>
          <w:szCs w:val="32"/>
          <w:lang w:eastAsia="zh-CN"/>
        </w:rPr>
        <w:t>。</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eastAsia="zh-CN"/>
        </w:rPr>
      </w:pP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守信核查。审批部门自作出许可之日起20个工作日内，对新办、变更（经营范围）或延续直营门店开展现场检查，</w:t>
      </w:r>
      <w:r>
        <w:rPr>
          <w:rFonts w:hint="eastAsia" w:ascii="仿宋_GB2312" w:hAnsi="仿宋_GB2312" w:eastAsia="仿宋_GB2312" w:cs="仿宋_GB2312"/>
          <w:color w:val="000000"/>
          <w:sz w:val="32"/>
          <w:szCs w:val="32"/>
          <w:lang w:eastAsia="zh-CN"/>
        </w:rPr>
        <w:t>根据检查情况予以责令整改或</w:t>
      </w:r>
      <w:r>
        <w:rPr>
          <w:rFonts w:hint="eastAsia" w:ascii="仿宋_GB2312" w:hAnsi="仿宋_GB2312" w:eastAsia="仿宋_GB2312" w:cs="仿宋_GB2312"/>
          <w:color w:val="000000"/>
          <w:sz w:val="32"/>
          <w:szCs w:val="32"/>
        </w:rPr>
        <w:t>撤销</w:t>
      </w:r>
      <w:r>
        <w:rPr>
          <w:rFonts w:hint="eastAsia" w:ascii="仿宋_GB2312" w:hAnsi="仿宋_GB2312" w:eastAsia="仿宋_GB2312" w:cs="仿宋_GB2312"/>
          <w:color w:val="000000"/>
          <w:sz w:val="32"/>
          <w:szCs w:val="32"/>
          <w:lang w:eastAsia="zh-CN"/>
        </w:rPr>
        <w:t>许可</w:t>
      </w:r>
      <w:r>
        <w:rPr>
          <w:rFonts w:hint="eastAsia" w:ascii="仿宋_GB2312" w:hAnsi="仿宋_GB2312" w:eastAsia="仿宋_GB2312" w:cs="仿宋_GB2312"/>
          <w:color w:val="000000"/>
          <w:sz w:val="32"/>
          <w:szCs w:val="32"/>
        </w:rPr>
        <w:t>。</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rPr>
        <w:t>实施多项改革措施叠加。推动“一证多址”与“证照联办”</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云踏勘</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“首席审批师”等改革制度叠加</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推动材料去重复用，最大程度精简申请材料。</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rPr>
        <w:t>审管执联动</w:t>
      </w:r>
      <w:r>
        <w:rPr>
          <w:rFonts w:hint="eastAsia" w:ascii="仿宋_GB2312" w:hAnsi="仿宋_GB2312" w:eastAsia="仿宋_GB2312" w:cs="仿宋_GB2312"/>
          <w:color w:val="000000"/>
          <w:sz w:val="32"/>
          <w:szCs w:val="32"/>
          <w:lang w:eastAsia="zh-CN"/>
        </w:rPr>
        <w:t>和</w:t>
      </w:r>
      <w:r>
        <w:rPr>
          <w:rFonts w:hint="eastAsia" w:ascii="仿宋_GB2312" w:hAnsi="仿宋_GB2312" w:eastAsia="仿宋_GB2312" w:cs="仿宋_GB2312"/>
          <w:color w:val="000000"/>
          <w:sz w:val="32"/>
          <w:szCs w:val="32"/>
        </w:rPr>
        <w:t>风险信用监管。</w:t>
      </w:r>
      <w:r>
        <w:rPr>
          <w:rFonts w:hint="eastAsia" w:ascii="仿宋_GB2312" w:hAnsi="仿宋_GB2312" w:eastAsia="仿宋_GB2312" w:cs="仿宋_GB2312"/>
          <w:color w:val="000000"/>
          <w:sz w:val="32"/>
          <w:szCs w:val="32"/>
          <w:lang w:eastAsia="zh-CN"/>
        </w:rPr>
        <w:t>推动各类审批监管</w:t>
      </w:r>
      <w:r>
        <w:rPr>
          <w:rFonts w:hint="eastAsia" w:ascii="仿宋_GB2312" w:hAnsi="仿宋_GB2312" w:eastAsia="仿宋_GB2312" w:cs="仿宋_GB2312"/>
          <w:color w:val="000000"/>
          <w:sz w:val="32"/>
          <w:szCs w:val="32"/>
        </w:rPr>
        <w:t>数据</w:t>
      </w:r>
      <w:r>
        <w:rPr>
          <w:rFonts w:hint="eastAsia" w:ascii="仿宋_GB2312" w:hAnsi="仿宋_GB2312" w:eastAsia="仿宋_GB2312" w:cs="仿宋_GB2312"/>
          <w:color w:val="000000"/>
          <w:sz w:val="32"/>
          <w:szCs w:val="32"/>
          <w:lang w:eastAsia="zh-CN"/>
        </w:rPr>
        <w:t>在审批、监管、执法部门之间的</w:t>
      </w:r>
      <w:r>
        <w:rPr>
          <w:rFonts w:hint="eastAsia" w:ascii="仿宋_GB2312" w:hAnsi="仿宋_GB2312" w:eastAsia="仿宋_GB2312" w:cs="仿宋_GB2312"/>
          <w:color w:val="000000"/>
          <w:sz w:val="32"/>
          <w:szCs w:val="32"/>
        </w:rPr>
        <w:t>共享</w:t>
      </w:r>
      <w:r>
        <w:rPr>
          <w:rFonts w:hint="eastAsia" w:ascii="仿宋_GB2312" w:hAnsi="仿宋_GB2312" w:eastAsia="仿宋_GB2312" w:cs="仿宋_GB2312"/>
          <w:color w:val="000000"/>
          <w:sz w:val="32"/>
          <w:szCs w:val="32"/>
          <w:lang w:eastAsia="zh-CN"/>
        </w:rPr>
        <w:t>运用</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同时，明确了出现</w:t>
      </w:r>
      <w:r>
        <w:rPr>
          <w:rFonts w:hint="eastAsia" w:ascii="仿宋_GB2312" w:hAnsi="仿宋_GB2312" w:eastAsia="仿宋_GB2312" w:cs="仿宋_GB2312"/>
          <w:color w:val="000000"/>
          <w:sz w:val="32"/>
          <w:szCs w:val="32"/>
        </w:rPr>
        <w:t>重大风险隐患、严重失信行为</w:t>
      </w:r>
      <w:r>
        <w:rPr>
          <w:rFonts w:hint="eastAsia" w:ascii="仿宋_GB2312" w:hAnsi="仿宋_GB2312" w:eastAsia="仿宋_GB2312" w:cs="仿宋_GB2312"/>
          <w:color w:val="000000"/>
          <w:sz w:val="32"/>
          <w:szCs w:val="32"/>
          <w:lang w:eastAsia="zh-CN"/>
        </w:rPr>
        <w:t>等情形时，</w:t>
      </w:r>
      <w:r>
        <w:rPr>
          <w:rFonts w:hint="eastAsia" w:ascii="仿宋_GB2312" w:hAnsi="仿宋_GB2312" w:eastAsia="仿宋_GB2312" w:cs="仿宋_GB2312"/>
          <w:color w:val="000000"/>
          <w:sz w:val="32"/>
          <w:szCs w:val="32"/>
        </w:rPr>
        <w:t>取消“一证多址”资格</w:t>
      </w:r>
      <w:r>
        <w:rPr>
          <w:rFonts w:hint="eastAsia" w:ascii="仿宋_GB2312" w:hAnsi="仿宋_GB2312" w:eastAsia="仿宋_GB2312" w:cs="仿宋_GB2312"/>
          <w:color w:val="000000"/>
          <w:sz w:val="32"/>
          <w:szCs w:val="32"/>
          <w:lang w:eastAsia="zh-CN"/>
        </w:rPr>
        <w:t>的规定</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实现闭环管理</w:t>
      </w:r>
      <w:r>
        <w:rPr>
          <w:rFonts w:hint="eastAsia" w:ascii="仿宋_GB2312" w:hAnsi="仿宋_GB2312" w:eastAsia="仿宋_GB2312" w:cs="仿宋_GB2312"/>
          <w:color w:val="000000"/>
          <w:sz w:val="32"/>
          <w:szCs w:val="32"/>
        </w:rPr>
        <w:t>。</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color w:val="000000"/>
          <w:sz w:val="32"/>
          <w:szCs w:val="32"/>
          <w:lang w:val="en-US" w:eastAsia="zh-CN"/>
        </w:rPr>
        <w:t>7.规定了</w:t>
      </w:r>
      <w:r>
        <w:rPr>
          <w:rFonts w:hint="eastAsia" w:ascii="仿宋_GB2312" w:hAnsi="仿宋_GB2312" w:eastAsia="仿宋_GB2312" w:cs="仿宋_GB2312"/>
          <w:color w:val="000000"/>
          <w:sz w:val="32"/>
          <w:szCs w:val="32"/>
        </w:rPr>
        <w:t>《综合许可资格证》</w:t>
      </w:r>
      <w:r>
        <w:rPr>
          <w:rFonts w:hint="eastAsia" w:ascii="仿宋_GB2312" w:hAnsi="仿宋_GB2312" w:eastAsia="仿宋_GB2312" w:cs="仿宋_GB2312"/>
          <w:color w:val="000000"/>
          <w:sz w:val="32"/>
          <w:szCs w:val="32"/>
          <w:lang w:eastAsia="zh-CN"/>
        </w:rPr>
        <w:t>后续</w:t>
      </w:r>
      <w:r>
        <w:rPr>
          <w:rFonts w:hint="eastAsia" w:ascii="仿宋_GB2312" w:hAnsi="仿宋_GB2312" w:eastAsia="仿宋_GB2312" w:cs="仿宋_GB2312"/>
          <w:color w:val="000000"/>
          <w:sz w:val="32"/>
          <w:szCs w:val="32"/>
        </w:rPr>
        <w:t>变更、延续和注销</w:t>
      </w:r>
      <w:r>
        <w:rPr>
          <w:rFonts w:hint="eastAsia" w:ascii="仿宋_GB2312" w:hAnsi="仿宋_GB2312" w:eastAsia="仿宋_GB2312" w:cs="仿宋_GB2312"/>
          <w:color w:val="000000"/>
          <w:sz w:val="32"/>
          <w:szCs w:val="32"/>
          <w:lang w:eastAsia="zh-CN"/>
        </w:rPr>
        <w:t>流程，满足企业的办事需求。</w:t>
      </w:r>
      <w:r>
        <w:rPr>
          <w:rFonts w:ascii="仿宋_GB2312" w:hAnsi="仿宋_GB2312" w:eastAsia="仿宋_GB2312" w:cs="仿宋_GB2312"/>
          <w:sz w:val="32"/>
          <w:szCs w:val="32"/>
        </w:rPr>
        <w:t xml:space="preserve">   </w:t>
      </w:r>
    </w:p>
    <w:p>
      <w:pPr>
        <w:pStyle w:val="5"/>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default" w:ascii="黑体" w:hAnsi="黑体" w:eastAsia="黑体"/>
          <w:b w:val="0"/>
          <w:bCs w:val="0"/>
          <w:sz w:val="32"/>
          <w:szCs w:val="32"/>
          <w:lang w:val="en-US" w:eastAsia="zh-CN"/>
        </w:rPr>
      </w:pPr>
      <w:r>
        <w:rPr>
          <w:rFonts w:hint="eastAsia" w:ascii="黑体" w:hAnsi="黑体" w:eastAsia="黑体"/>
          <w:b w:val="0"/>
          <w:bCs w:val="0"/>
          <w:sz w:val="32"/>
          <w:szCs w:val="32"/>
          <w:lang w:eastAsia="zh-CN"/>
        </w:rPr>
        <w:t>三</w:t>
      </w:r>
      <w:r>
        <w:rPr>
          <w:rFonts w:hint="eastAsia" w:ascii="黑体" w:hAnsi="黑体" w:eastAsia="黑体"/>
          <w:b w:val="0"/>
          <w:bCs w:val="0"/>
          <w:sz w:val="32"/>
          <w:szCs w:val="32"/>
        </w:rPr>
        <w:t>、</w:t>
      </w:r>
      <w:r>
        <w:rPr>
          <w:rFonts w:hint="eastAsia" w:ascii="黑体" w:hAnsi="黑体" w:eastAsia="黑体"/>
          <w:b w:val="0"/>
          <w:bCs w:val="0"/>
          <w:sz w:val="32"/>
          <w:szCs w:val="32"/>
          <w:lang w:val="en-US" w:eastAsia="zh-CN"/>
        </w:rPr>
        <w:t>编制情况</w:t>
      </w:r>
    </w:p>
    <w:p>
      <w:pPr>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围绕</w:t>
      </w:r>
      <w:r>
        <w:rPr>
          <w:rFonts w:hint="eastAsia" w:ascii="仿宋_GB2312" w:hAnsi="仿宋_GB2312" w:eastAsia="仿宋_GB2312" w:cs="仿宋_GB2312"/>
          <w:sz w:val="32"/>
          <w:szCs w:val="32"/>
          <w:lang w:eastAsia="zh-CN"/>
        </w:rPr>
        <w:t>《实施方案》</w:t>
      </w:r>
      <w:r>
        <w:rPr>
          <w:rFonts w:hint="eastAsia" w:ascii="仿宋_GB2312" w:hAnsi="仿宋_GB2312" w:eastAsia="仿宋_GB2312" w:cs="仿宋_GB2312"/>
          <w:sz w:val="32"/>
          <w:szCs w:val="32"/>
          <w:lang w:val="en-US" w:eastAsia="zh-CN"/>
        </w:rPr>
        <w:t>的编制</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北京</w:t>
      </w:r>
      <w:r>
        <w:rPr>
          <w:rFonts w:hint="eastAsia" w:ascii="仿宋_GB2312" w:hAnsi="仿宋_GB2312" w:eastAsia="仿宋_GB2312" w:cs="仿宋_GB2312"/>
          <w:sz w:val="32"/>
          <w:szCs w:val="32"/>
          <w:lang w:val="en-US" w:eastAsia="zh-CN"/>
        </w:rPr>
        <w:t>经开区行政审批局</w:t>
      </w:r>
      <w:r>
        <w:rPr>
          <w:rFonts w:hint="eastAsia" w:ascii="仿宋_GB2312" w:eastAsia="仿宋_GB2312"/>
          <w:sz w:val="32"/>
          <w:szCs w:val="32"/>
          <w:lang w:val="en-US" w:eastAsia="zh-CN"/>
        </w:rPr>
        <w:t>总结改革试点的实施情况，调研相关企业需求和建议，</w:t>
      </w:r>
      <w:r>
        <w:rPr>
          <w:rFonts w:hint="eastAsia" w:ascii="仿宋_GB2312" w:hAnsi="仿宋_GB2312" w:eastAsia="仿宋_GB2312" w:cs="仿宋_GB2312"/>
          <w:sz w:val="32"/>
          <w:szCs w:val="32"/>
          <w:lang w:val="en-US" w:eastAsia="zh-CN"/>
        </w:rPr>
        <w:t>修订</w:t>
      </w:r>
      <w:r>
        <w:rPr>
          <w:rFonts w:hint="eastAsia" w:ascii="仿宋_GB2312" w:hAnsi="仿宋_GB2312" w:eastAsia="仿宋_GB2312" w:cs="仿宋_GB2312"/>
          <w:sz w:val="32"/>
          <w:szCs w:val="32"/>
        </w:rPr>
        <w:t>形成了</w:t>
      </w:r>
      <w:r>
        <w:rPr>
          <w:rFonts w:hint="eastAsia" w:ascii="仿宋_GB2312" w:hAnsi="仿宋_GB2312" w:eastAsia="仿宋_GB2312" w:cs="仿宋_GB2312"/>
          <w:sz w:val="32"/>
          <w:szCs w:val="32"/>
          <w:lang w:eastAsia="zh-CN"/>
        </w:rPr>
        <w:t>《实施方案》</w:t>
      </w:r>
      <w:r>
        <w:rPr>
          <w:rFonts w:hint="eastAsia" w:ascii="仿宋_GB2312" w:hAnsi="仿宋_GB2312" w:eastAsia="仿宋_GB2312" w:cs="仿宋_GB2312"/>
          <w:sz w:val="32"/>
          <w:szCs w:val="32"/>
          <w:lang w:val="en-US" w:eastAsia="zh-CN"/>
        </w:rPr>
        <w:t>征求意见</w:t>
      </w:r>
      <w:r>
        <w:rPr>
          <w:rFonts w:hint="eastAsia" w:ascii="仿宋_GB2312" w:hAnsi="仿宋_GB2312" w:eastAsia="仿宋_GB2312" w:cs="仿宋_GB2312"/>
          <w:b w:val="0"/>
          <w:bCs w:val="0"/>
          <w:sz w:val="32"/>
          <w:szCs w:val="32"/>
          <w:lang w:val="en-US" w:eastAsia="zh-CN"/>
        </w:rPr>
        <w:t>稿。</w:t>
      </w:r>
    </w:p>
    <w:p>
      <w:pPr>
        <w:pStyle w:val="3"/>
        <w:pageBreakBefore w:val="0"/>
        <w:widowControl w:val="0"/>
        <w:kinsoku/>
        <w:wordWrap/>
        <w:overflowPunct/>
        <w:topLinePunct w:val="0"/>
        <w:autoSpaceDE/>
        <w:autoSpaceDN/>
        <w:bidi w:val="0"/>
        <w:adjustRightInd/>
        <w:snapToGrid/>
        <w:textAlignment w:val="auto"/>
        <w:rPr>
          <w:rFonts w:hint="eastAsia"/>
          <w:lang w:val="en-US" w:eastAsia="zh-CN"/>
        </w:rPr>
      </w:pPr>
    </w:p>
    <w:p>
      <w:pPr>
        <w:pStyle w:val="5"/>
        <w:keepNext/>
        <w:keepLines/>
        <w:pageBreakBefore w:val="0"/>
        <w:widowControl w:val="0"/>
        <w:kinsoku/>
        <w:wordWrap/>
        <w:overflowPunct/>
        <w:topLinePunct w:val="0"/>
        <w:autoSpaceDE/>
        <w:autoSpaceDN/>
        <w:bidi w:val="0"/>
        <w:adjustRightInd/>
        <w:snapToGrid/>
        <w:spacing w:before="0" w:after="0" w:line="560" w:lineRule="exact"/>
        <w:ind w:firstLine="5760" w:firstLineChars="1800"/>
        <w:textAlignment w:val="auto"/>
        <w:rPr>
          <w:rFonts w:hint="default"/>
          <w:b w:val="0"/>
          <w:bCs w:val="0"/>
          <w:sz w:val="32"/>
          <w:szCs w:val="32"/>
          <w:highlight w:val="yellow"/>
          <w:lang w:val="en-US" w:eastAsia="zh-CN"/>
        </w:rPr>
      </w:pPr>
      <w:r>
        <w:rPr>
          <w:rFonts w:hint="eastAsia" w:ascii="仿宋_GB2312" w:hAnsi="仿宋_GB2312" w:eastAsia="仿宋_GB2312" w:cs="仿宋_GB2312"/>
          <w:b w:val="0"/>
          <w:bCs w:val="0"/>
          <w:sz w:val="32"/>
          <w:szCs w:val="32"/>
          <w:highlight w:val="none"/>
          <w:lang w:val="en-US" w:eastAsia="zh-CN"/>
        </w:rPr>
        <w:t>2023年8月18</w:t>
      </w:r>
      <w:bookmarkStart w:id="0" w:name="_GoBack"/>
      <w:bookmarkEnd w:id="0"/>
      <w:r>
        <w:rPr>
          <w:rFonts w:hint="eastAsia" w:ascii="仿宋_GB2312" w:hAnsi="仿宋_GB2312" w:eastAsia="仿宋_GB2312" w:cs="仿宋_GB2312"/>
          <w:b w:val="0"/>
          <w:bCs w:val="0"/>
          <w:sz w:val="32"/>
          <w:szCs w:val="32"/>
          <w:highlight w:val="none"/>
          <w:lang w:val="en-US" w:eastAsia="zh-CN"/>
        </w:rPr>
        <w:t>日</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pPr>
    </w:p>
    <w:sectPr>
      <w:footerReference r:id="rId3" w:type="default"/>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FFF994E-A596-4F02-A237-158963891D4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2" w:fontKey="{9501B0B8-EA8B-4532-8722-D7EACD6C8E2A}"/>
  </w:font>
  <w:font w:name="方正小标宋简体">
    <w:panose1 w:val="02000000000000000000"/>
    <w:charset w:val="86"/>
    <w:family w:val="auto"/>
    <w:pitch w:val="default"/>
    <w:sig w:usb0="00000001" w:usb1="08000000" w:usb2="00000000" w:usb3="00000000" w:csb0="00040000" w:csb1="00000000"/>
    <w:embedRegular r:id="rId3" w:fontKey="{3409DCF6-3E22-48AA-92D2-1D249775AEA7}"/>
  </w:font>
  <w:font w:name="楷体_GB2312">
    <w:panose1 w:val="02010609030101010101"/>
    <w:charset w:val="86"/>
    <w:family w:val="modern"/>
    <w:pitch w:val="default"/>
    <w:sig w:usb0="00000001" w:usb1="080E0000" w:usb2="00000000" w:usb3="00000000" w:csb0="00040000" w:csb1="00000000"/>
    <w:embedRegular r:id="rId4" w:fontKey="{7EFBE5D0-0C43-4E2B-8C0F-7226B54F1F62}"/>
  </w:font>
  <w:font w:name="仿宋">
    <w:panose1 w:val="02010609060101010101"/>
    <w:charset w:val="86"/>
    <w:family w:val="auto"/>
    <w:pitch w:val="default"/>
    <w:sig w:usb0="800002BF" w:usb1="38CF7CFA" w:usb2="00000016" w:usb3="00000000" w:csb0="00040001" w:csb1="00000000"/>
    <w:embedRegular r:id="rId5" w:fontKey="{F1AA60C2-EF4D-4B9A-90B8-A16C894EAA0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1</w:t>
    </w:r>
    <w:r>
      <w:rPr>
        <w:lang w:val="zh-CN"/>
      </w:rPr>
      <w:fldChar w:fldCharType="end"/>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TrueTypeFonts/>
  <w:saveSubsetFonts/>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1NGQ4MDY4NjMxYWVlMzc3ODM2NDE0MmU1ODUxYzYifQ=="/>
  </w:docVars>
  <w:rsids>
    <w:rsidRoot w:val="37D82806"/>
    <w:rsid w:val="013B4D07"/>
    <w:rsid w:val="02BE582C"/>
    <w:rsid w:val="04B67307"/>
    <w:rsid w:val="064F2F13"/>
    <w:rsid w:val="06D53383"/>
    <w:rsid w:val="0D1569A5"/>
    <w:rsid w:val="0E8611C8"/>
    <w:rsid w:val="0FCC547F"/>
    <w:rsid w:val="1055708F"/>
    <w:rsid w:val="11D4383A"/>
    <w:rsid w:val="1B6E4546"/>
    <w:rsid w:val="1C72489D"/>
    <w:rsid w:val="1D130E20"/>
    <w:rsid w:val="1D270C8B"/>
    <w:rsid w:val="20362E30"/>
    <w:rsid w:val="20E32F45"/>
    <w:rsid w:val="21707C09"/>
    <w:rsid w:val="223B07F0"/>
    <w:rsid w:val="25B4251A"/>
    <w:rsid w:val="25B81DB0"/>
    <w:rsid w:val="2AA92766"/>
    <w:rsid w:val="2B4D49AD"/>
    <w:rsid w:val="2BE64DDC"/>
    <w:rsid w:val="342235FB"/>
    <w:rsid w:val="34394904"/>
    <w:rsid w:val="37D82806"/>
    <w:rsid w:val="39253208"/>
    <w:rsid w:val="3AEF2891"/>
    <w:rsid w:val="3BE928BB"/>
    <w:rsid w:val="3F4117E2"/>
    <w:rsid w:val="3F57A806"/>
    <w:rsid w:val="41D40046"/>
    <w:rsid w:val="42F42465"/>
    <w:rsid w:val="4392658F"/>
    <w:rsid w:val="470B16F8"/>
    <w:rsid w:val="49885819"/>
    <w:rsid w:val="49B54134"/>
    <w:rsid w:val="4B724F05"/>
    <w:rsid w:val="4BA6467C"/>
    <w:rsid w:val="4BE119AB"/>
    <w:rsid w:val="4C0F3FD0"/>
    <w:rsid w:val="526151B7"/>
    <w:rsid w:val="52E3312C"/>
    <w:rsid w:val="5490650D"/>
    <w:rsid w:val="55404D5C"/>
    <w:rsid w:val="554747DA"/>
    <w:rsid w:val="573214BA"/>
    <w:rsid w:val="57F569FF"/>
    <w:rsid w:val="581C6CEF"/>
    <w:rsid w:val="587840DC"/>
    <w:rsid w:val="596D663E"/>
    <w:rsid w:val="5A296470"/>
    <w:rsid w:val="5B2FD9B3"/>
    <w:rsid w:val="5C1E541C"/>
    <w:rsid w:val="5CF05B01"/>
    <w:rsid w:val="5EC055A6"/>
    <w:rsid w:val="5EC73C02"/>
    <w:rsid w:val="5F766F82"/>
    <w:rsid w:val="62713AFC"/>
    <w:rsid w:val="6357316B"/>
    <w:rsid w:val="677B4DF1"/>
    <w:rsid w:val="68920CB4"/>
    <w:rsid w:val="69BD39A1"/>
    <w:rsid w:val="6C1337E0"/>
    <w:rsid w:val="702459EC"/>
    <w:rsid w:val="74AE1D28"/>
    <w:rsid w:val="74DB5853"/>
    <w:rsid w:val="76D86017"/>
    <w:rsid w:val="77613082"/>
    <w:rsid w:val="7C541407"/>
    <w:rsid w:val="7DB66BB0"/>
    <w:rsid w:val="7FFFB477"/>
    <w:rsid w:val="A7FF45F5"/>
    <w:rsid w:val="BCC7853C"/>
    <w:rsid w:val="BFD70065"/>
    <w:rsid w:val="DAEEEA9E"/>
    <w:rsid w:val="E9EE83E8"/>
    <w:rsid w:val="EF7E8193"/>
    <w:rsid w:val="FBFF339C"/>
    <w:rsid w:val="FDFF1C04"/>
    <w:rsid w:val="FFEB5AC4"/>
    <w:rsid w:val="FFF3A3DE"/>
    <w:rsid w:val="FFFE2DB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widowControl w:val="0"/>
      <w:spacing w:line="560" w:lineRule="exact"/>
      <w:ind w:firstLine="800" w:firstLineChars="200"/>
      <w:jc w:val="left"/>
      <w:outlineLvl w:val="0"/>
    </w:pPr>
    <w:rPr>
      <w:rFonts w:ascii="Calibri" w:hAnsi="Calibri" w:eastAsia="黑体" w:cs="宋体"/>
      <w:color w:val="000000"/>
      <w:kern w:val="44"/>
      <w:sz w:val="32"/>
      <w:szCs w:val="32"/>
      <w:lang w:val="en-US" w:eastAsia="zh-CN" w:bidi="ar-SA"/>
    </w:rPr>
  </w:style>
  <w:style w:type="paragraph" w:styleId="4">
    <w:name w:val="heading 2"/>
    <w:basedOn w:val="1"/>
    <w:next w:val="1"/>
    <w:qFormat/>
    <w:uiPriority w:val="0"/>
    <w:pPr>
      <w:keepNext/>
      <w:keepLines/>
      <w:widowControl w:val="0"/>
      <w:spacing w:line="560" w:lineRule="exact"/>
      <w:ind w:firstLine="800" w:firstLineChars="200"/>
      <w:jc w:val="both"/>
      <w:outlineLvl w:val="1"/>
    </w:pPr>
    <w:rPr>
      <w:rFonts w:ascii="Calibri Light" w:hAnsi="Calibri Light" w:eastAsia="楷体" w:cs="宋体"/>
      <w:bCs/>
      <w:color w:val="000000"/>
      <w:kern w:val="2"/>
      <w:sz w:val="32"/>
      <w:szCs w:val="32"/>
      <w:lang w:val="en-US" w:eastAsia="zh-CN" w:bidi="ar-SA"/>
    </w:rPr>
  </w:style>
  <w:style w:type="paragraph" w:styleId="5">
    <w:name w:val="heading 4"/>
    <w:basedOn w:val="1"/>
    <w:next w:val="1"/>
    <w:qFormat/>
    <w:uiPriority w:val="9"/>
    <w:pPr>
      <w:keepNext/>
      <w:keepLines/>
      <w:spacing w:before="280" w:after="290" w:line="376" w:lineRule="atLeast"/>
      <w:outlineLvl w:val="3"/>
    </w:pPr>
    <w:rPr>
      <w:rFonts w:ascii="Cambria" w:hAnsi="Cambria" w:eastAsia="宋体" w:cs="Times New Roman"/>
      <w:b/>
      <w:bCs/>
      <w:sz w:val="28"/>
      <w:szCs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6">
    <w:name w:val="Body Text"/>
    <w:basedOn w:val="1"/>
    <w:unhideWhenUsed/>
    <w:qFormat/>
    <w:uiPriority w:val="0"/>
    <w:pPr>
      <w:spacing w:after="120"/>
    </w:pPr>
    <w:rPr>
      <w:rFonts w:ascii="Times New Roman" w:hAnsi="Times New Roman"/>
    </w:rPr>
  </w:style>
  <w:style w:type="paragraph" w:styleId="7">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1963</Words>
  <Characters>1968</Characters>
  <Lines>0</Lines>
  <Paragraphs>0</Paragraphs>
  <TotalTime>0</TotalTime>
  <ScaleCrop>false</ScaleCrop>
  <LinksUpToDate>false</LinksUpToDate>
  <CharactersWithSpaces>1970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2022-01-09T17:50:00Z</dcterms:created>
  <dc:creator>梁爽办公室</dc:creator>
  <cp:lastModifiedBy>Le Pu</cp:lastModifiedBy>
  <cp:lastPrinted>2023-07-17T06:20:00Z</cp:lastPrinted>
  <dcterms:modified xsi:type="dcterms:W3CDTF">2023-08-16T07:40:25Z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2AC5CB00802544A88588F6AF3BB74AA9_13</vt:lpwstr>
  </property>
</Properties>
</file>