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both"/>
        <w:rPr>
          <w:rFonts w:hint="eastAsia" w:ascii="方正小标宋简体" w:hAnsi="方正小标宋简体" w:eastAsia="方正小标宋简体" w:cs="方正小标宋简体"/>
          <w:color w:val="auto"/>
          <w:sz w:val="44"/>
          <w:szCs w:val="44"/>
        </w:rPr>
      </w:pPr>
      <w:r>
        <w:rPr>
          <w:rFonts w:hint="eastAsia" w:ascii="仿宋_GB2312" w:hAnsi="仿宋_GB2312" w:eastAsia="仿宋_GB2312" w:cs="仿宋_GB2312"/>
          <w:color w:val="auto"/>
          <w:sz w:val="32"/>
          <w:szCs w:val="32"/>
          <w:highlight w:val="none"/>
          <w:lang w:val="en-US" w:eastAsia="zh-CN"/>
        </w:rPr>
        <w:t>附件1.</w:t>
      </w:r>
      <w:bookmarkStart w:id="0" w:name="_GoBack"/>
      <w:bookmarkEnd w:id="0"/>
    </w:p>
    <w:p>
      <w:pPr>
        <w:ind w:firstLine="0" w:firstLineChars="0"/>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北京经济技术开发区</w:t>
      </w:r>
    </w:p>
    <w:p>
      <w:pPr>
        <w:ind w:firstLine="0" w:firstLineChars="0"/>
        <w:jc w:val="center"/>
      </w:pPr>
      <w:r>
        <w:rPr>
          <w:rFonts w:hint="eastAsia" w:ascii="方正小标宋简体" w:hAnsi="方正小标宋简体" w:eastAsia="方正小标宋简体" w:cs="方正小标宋简体"/>
          <w:color w:val="auto"/>
          <w:sz w:val="44"/>
          <w:szCs w:val="44"/>
        </w:rPr>
        <w:t>食品连锁经营企业“</w:t>
      </w:r>
      <w:r>
        <w:rPr>
          <w:rFonts w:hint="default" w:ascii="方正小标宋简体" w:hAnsi="方正小标宋简体" w:eastAsia="方正小标宋简体" w:cs="方正小标宋简体"/>
          <w:color w:val="auto"/>
          <w:sz w:val="44"/>
          <w:szCs w:val="44"/>
          <w:lang w:val="en-US"/>
        </w:rPr>
        <w:t>一证多址</w:t>
      </w:r>
      <w:r>
        <w:rPr>
          <w:rFonts w:hint="eastAsia" w:ascii="方正小标宋简体" w:hAnsi="方正小标宋简体" w:eastAsia="方正小标宋简体" w:cs="方正小标宋简体"/>
          <w:color w:val="auto"/>
          <w:sz w:val="44"/>
          <w:szCs w:val="44"/>
        </w:rPr>
        <w:t>”改革实施方案</w:t>
      </w:r>
    </w:p>
    <w:p>
      <w:pPr>
        <w:ind w:firstLine="640"/>
      </w:pPr>
    </w:p>
    <w:p>
      <w:pPr>
        <w:ind w:firstLine="640"/>
      </w:pPr>
      <w:r>
        <w:rPr>
          <w:rFonts w:hint="eastAsia"/>
        </w:rPr>
        <w:t>为贯彻落实《北京市全面优化营商环境助力企业高质量发展实施方案》</w:t>
      </w:r>
      <w:r>
        <w:rPr>
          <w:rFonts w:hint="eastAsia"/>
          <w:lang w:val="en-US" w:eastAsia="zh-CN"/>
        </w:rPr>
        <w:t>要求</w:t>
      </w:r>
      <w:r>
        <w:rPr>
          <w:rFonts w:hint="eastAsia"/>
        </w:rPr>
        <w:t>，</w:t>
      </w:r>
      <w:r>
        <w:rPr>
          <w:rFonts w:hint="eastAsia"/>
          <w:lang w:val="en-US" w:eastAsia="zh-CN"/>
        </w:rPr>
        <w:t>进一步</w:t>
      </w:r>
      <w:r>
        <w:rPr>
          <w:rFonts w:hint="eastAsia"/>
        </w:rPr>
        <w:t>深化“放管服”改革，推动食品经营领域审批便利化，结合</w:t>
      </w:r>
      <w:r>
        <w:rPr>
          <w:rFonts w:hint="eastAsia"/>
          <w:lang w:val="en-US" w:eastAsia="zh-CN"/>
        </w:rPr>
        <w:t>前期改革试点情况和</w:t>
      </w:r>
      <w:r>
        <w:rPr>
          <w:rFonts w:hint="eastAsia"/>
        </w:rPr>
        <w:t>北京经济技术开发区（以下简称“经开区”）实际，制定本实施方案。</w:t>
      </w:r>
    </w:p>
    <w:p>
      <w:pPr>
        <w:pStyle w:val="3"/>
        <w:ind w:firstLine="640"/>
      </w:pPr>
      <w:r>
        <w:rPr>
          <w:rFonts w:hint="eastAsia"/>
        </w:rPr>
        <w:t>一、工作要求和目标</w:t>
      </w:r>
    </w:p>
    <w:p>
      <w:pPr>
        <w:ind w:firstLine="640"/>
      </w:pPr>
      <w:r>
        <w:rPr>
          <w:rFonts w:hint="eastAsia"/>
        </w:rPr>
        <w:t>以习近平新时代中国特色社会主义思想为指导，全面贯彻党的</w:t>
      </w:r>
      <w:r>
        <w:rPr>
          <w:rFonts w:hint="eastAsia"/>
          <w:lang w:val="en-US" w:eastAsia="zh-CN"/>
        </w:rPr>
        <w:t>二十大</w:t>
      </w:r>
      <w:r>
        <w:rPr>
          <w:rFonts w:hint="eastAsia"/>
        </w:rPr>
        <w:t>精神，</w:t>
      </w:r>
      <w:r>
        <w:rPr>
          <w:rFonts w:hint="eastAsia" w:ascii="Times New Roman" w:hAnsi="Times New Roman" w:cs="宋体"/>
          <w:bCs/>
        </w:rPr>
        <w:t>以市场主体信用为基础，</w:t>
      </w:r>
      <w:r>
        <w:rPr>
          <w:rFonts w:hint="eastAsia"/>
        </w:rPr>
        <w:t>通过优化服务流程、提升审批效能、强化监督管理，</w:t>
      </w:r>
      <w:r>
        <w:rPr>
          <w:rFonts w:hint="eastAsia"/>
          <w:lang w:val="en-US" w:eastAsia="zh-CN"/>
        </w:rPr>
        <w:t>进一步深化</w:t>
      </w:r>
      <w:r>
        <w:rPr>
          <w:rFonts w:hint="eastAsia"/>
        </w:rPr>
        <w:t>“</w:t>
      </w:r>
      <w:r>
        <w:rPr>
          <w:rFonts w:hint="default"/>
          <w:lang w:val="en-US"/>
        </w:rPr>
        <w:t>一证多址</w:t>
      </w:r>
      <w:r>
        <w:rPr>
          <w:rFonts w:hint="eastAsia"/>
        </w:rPr>
        <w:t>”改革</w:t>
      </w:r>
      <w:r>
        <w:rPr>
          <w:rFonts w:hint="eastAsia"/>
          <w:lang w:eastAsia="zh-CN"/>
        </w:rPr>
        <w:t>，</w:t>
      </w:r>
      <w:r>
        <w:rPr>
          <w:rFonts w:hint="eastAsia" w:ascii="Times New Roman" w:hAnsi="Times New Roman" w:cs="宋体"/>
          <w:bCs/>
          <w:lang w:val="en-US" w:eastAsia="zh-CN"/>
        </w:rPr>
        <w:t>推动食品连锁经营企业</w:t>
      </w:r>
      <w:r>
        <w:rPr>
          <w:rFonts w:hint="eastAsia" w:ascii="Times New Roman" w:hAnsi="Times New Roman" w:cs="宋体"/>
          <w:bCs/>
        </w:rPr>
        <w:t>审批极简化、便利化，</w:t>
      </w:r>
      <w:r>
        <w:rPr>
          <w:rFonts w:hint="eastAsia"/>
          <w:lang w:val="en-US" w:eastAsia="zh-CN"/>
        </w:rPr>
        <w:t>推广</w:t>
      </w:r>
      <w:r>
        <w:rPr>
          <w:rFonts w:hint="eastAsia"/>
        </w:rPr>
        <w:t>克隆开店“</w:t>
      </w:r>
      <w:r>
        <w:rPr>
          <w:rFonts w:hint="default"/>
          <w:lang w:val="en-US"/>
        </w:rPr>
        <w:t>秒批</w:t>
      </w:r>
      <w:r>
        <w:rPr>
          <w:rFonts w:hint="eastAsia"/>
        </w:rPr>
        <w:t>”模式，大幅缩短审批时限，实现食品连锁经营企业集成审批、集成管理，构建政府、社会、企业多元共治格局。</w:t>
      </w:r>
    </w:p>
    <w:p>
      <w:pPr>
        <w:pStyle w:val="4"/>
        <w:ind w:firstLine="640"/>
        <w:rPr>
          <w:rFonts w:ascii="黑体" w:hAnsi="黑体" w:eastAsia="黑体" w:cs="黑体"/>
        </w:rPr>
      </w:pPr>
      <w:r>
        <w:rPr>
          <w:rFonts w:hint="eastAsia" w:ascii="黑体" w:hAnsi="黑体" w:eastAsia="黑体" w:cs="黑体"/>
        </w:rPr>
        <w:t>二、定义和实施范围</w:t>
      </w:r>
    </w:p>
    <w:p>
      <w:pPr>
        <w:ind w:firstLine="640"/>
      </w:pPr>
      <w:r>
        <w:rPr>
          <w:rFonts w:hint="eastAsia" w:ascii="楷体_GB2312" w:eastAsia="楷体_GB2312"/>
        </w:rPr>
        <w:t>（一）定义</w:t>
      </w:r>
    </w:p>
    <w:p>
      <w:pPr>
        <w:ind w:firstLine="640"/>
      </w:pPr>
      <w:r>
        <w:rPr>
          <w:rFonts w:hint="eastAsia"/>
        </w:rPr>
        <w:t>本方案所称“一证多址”改革，指对于在采购配送、经营管理、质量管控等方面达到一定标准的食品连锁经营企业（含超市、便利店、普通餐饮等业态</w:t>
      </w:r>
      <w:r>
        <w:rPr>
          <w:rFonts w:hint="eastAsia"/>
          <w:lang w:eastAsia="zh-CN"/>
        </w:rPr>
        <w:t>，</w:t>
      </w:r>
      <w:r>
        <w:rPr>
          <w:rFonts w:hint="eastAsia"/>
          <w:lang w:val="en-US" w:eastAsia="zh-CN"/>
        </w:rPr>
        <w:t>仅限直营连锁</w:t>
      </w:r>
      <w:r>
        <w:rPr>
          <w:rFonts w:hint="eastAsia"/>
        </w:rPr>
        <w:t>），在经开区</w:t>
      </w:r>
      <w:r>
        <w:rPr>
          <w:rFonts w:hint="eastAsia"/>
          <w:lang w:val="en-US" w:eastAsia="zh-CN"/>
        </w:rPr>
        <w:t>经营</w:t>
      </w:r>
      <w:r>
        <w:rPr>
          <w:rFonts w:hint="eastAsia"/>
        </w:rPr>
        <w:t>一家或多家直营门店时，审批部门依信用情况</w:t>
      </w:r>
      <w:r>
        <w:rPr>
          <w:rFonts w:hint="eastAsia"/>
          <w:lang w:val="en-US" w:eastAsia="zh-CN"/>
        </w:rPr>
        <w:t>予以</w:t>
      </w:r>
      <w:r>
        <w:rPr>
          <w:rFonts w:hint="eastAsia"/>
        </w:rPr>
        <w:t>“秒批”办理。</w:t>
      </w:r>
    </w:p>
    <w:p>
      <w:pPr>
        <w:ind w:firstLine="640"/>
      </w:pPr>
      <w:r>
        <w:rPr>
          <w:rFonts w:hint="eastAsia"/>
        </w:rPr>
        <w:t>审批部门为</w:t>
      </w:r>
      <w:r>
        <w:rPr>
          <w:rFonts w:hint="eastAsia"/>
          <w:lang w:val="en-US" w:eastAsia="zh-CN"/>
        </w:rPr>
        <w:t>符合要求的</w:t>
      </w:r>
      <w:r>
        <w:rPr>
          <w:rFonts w:hint="eastAsia"/>
        </w:rPr>
        <w:t>食品连锁经营企业发放《综合许可资格证》，记载区域</w:t>
      </w:r>
      <w:r>
        <w:rPr>
          <w:rFonts w:hint="eastAsia"/>
          <w:lang w:val="en-US" w:eastAsia="zh-CN"/>
        </w:rPr>
        <w:t>内</w:t>
      </w:r>
      <w:r>
        <w:rPr>
          <w:rFonts w:hint="eastAsia"/>
        </w:rPr>
        <w:t>所有直营门店的经营许可信息。</w:t>
      </w:r>
    </w:p>
    <w:p>
      <w:pPr>
        <w:pStyle w:val="4"/>
        <w:ind w:firstLine="640"/>
        <w:rPr>
          <w:rFonts w:ascii="楷体_GB2312" w:eastAsia="楷体_GB2312"/>
        </w:rPr>
      </w:pPr>
      <w:r>
        <w:rPr>
          <w:rFonts w:hint="eastAsia" w:ascii="楷体_GB2312" w:eastAsia="楷体_GB2312"/>
        </w:rPr>
        <w:t>（二）实施范围</w:t>
      </w:r>
    </w:p>
    <w:p>
      <w:pPr>
        <w:ind w:firstLine="640"/>
      </w:pPr>
      <w:r>
        <w:rPr>
          <w:rFonts w:hint="eastAsia"/>
        </w:rPr>
        <w:t>“一证多址”</w:t>
      </w:r>
      <w:r>
        <w:rPr>
          <w:rFonts w:hint="eastAsia"/>
          <w:lang w:val="en-US" w:eastAsia="zh-CN"/>
        </w:rPr>
        <w:t>改革</w:t>
      </w:r>
      <w:r>
        <w:rPr>
          <w:rFonts w:hint="eastAsia"/>
        </w:rPr>
        <w:t>区域范围覆盖亦庄新城（225平方公里）。申请办理“一证多址”，应由食品连锁经营企业发起，并满足以下条件：</w:t>
      </w:r>
    </w:p>
    <w:p>
      <w:pPr>
        <w:ind w:firstLine="640"/>
      </w:pPr>
      <w:r>
        <w:rPr>
          <w:rFonts w:hint="eastAsia"/>
        </w:rPr>
        <w:t>1.食品连锁经营企业在亦庄新城</w:t>
      </w:r>
      <w:r>
        <w:rPr>
          <w:rFonts w:hint="eastAsia"/>
          <w:lang w:val="en-US" w:eastAsia="zh-CN"/>
        </w:rPr>
        <w:t>新设</w:t>
      </w:r>
      <w:r>
        <w:rPr>
          <w:rFonts w:hint="eastAsia"/>
        </w:rPr>
        <w:t>直营门店</w:t>
      </w:r>
      <w:r>
        <w:rPr>
          <w:rFonts w:hint="eastAsia"/>
          <w:lang w:val="en-US" w:eastAsia="zh-CN"/>
        </w:rPr>
        <w:t>或对已有直营门店办理变更、延续</w:t>
      </w:r>
      <w:r>
        <w:rPr>
          <w:rFonts w:hint="eastAsia"/>
        </w:rPr>
        <w:t>；</w:t>
      </w:r>
    </w:p>
    <w:p>
      <w:pPr>
        <w:ind w:firstLine="640"/>
        <w:rPr>
          <w:rFonts w:hint="eastAsia"/>
          <w:highlight w:val="none"/>
        </w:rPr>
      </w:pPr>
      <w:r>
        <w:rPr>
          <w:rFonts w:hint="eastAsia"/>
        </w:rPr>
        <w:t>2.食品连锁经营企业在北京市注册，</w:t>
      </w:r>
      <w:r>
        <w:rPr>
          <w:rFonts w:hint="eastAsia"/>
          <w:highlight w:val="none"/>
          <w:lang w:val="en-US" w:eastAsia="zh-CN"/>
        </w:rPr>
        <w:t>并</w:t>
      </w:r>
      <w:r>
        <w:rPr>
          <w:rFonts w:hint="eastAsia"/>
          <w:highlight w:val="none"/>
        </w:rPr>
        <w:t>在北京市范围内已有</w:t>
      </w:r>
      <w:r>
        <w:rPr>
          <w:rFonts w:hint="eastAsia"/>
          <w:highlight w:val="none"/>
          <w:lang w:eastAsia="zh-CN"/>
        </w:rPr>
        <w:t>1</w:t>
      </w:r>
      <w:r>
        <w:rPr>
          <w:rFonts w:hint="eastAsia"/>
          <w:highlight w:val="none"/>
        </w:rPr>
        <w:t>0家以上直营门店；</w:t>
      </w:r>
    </w:p>
    <w:p>
      <w:pPr>
        <w:ind w:firstLine="640"/>
      </w:pPr>
      <w:r>
        <w:rPr>
          <w:rFonts w:hint="eastAsia"/>
        </w:rPr>
        <w:t>3.在</w:t>
      </w:r>
      <w:r>
        <w:rPr>
          <w:rFonts w:hint="eastAsia"/>
          <w:lang w:val="en-US" w:eastAsia="zh-CN"/>
        </w:rPr>
        <w:t>北京</w:t>
      </w:r>
      <w:r>
        <w:rPr>
          <w:rFonts w:hint="eastAsia"/>
        </w:rPr>
        <w:t>市范围内使用统一商号（字号）、实行统一采购配送和统一规范经营管理，具备健全的</w:t>
      </w:r>
      <w:r>
        <w:t>质量管理体系</w:t>
      </w:r>
      <w:r>
        <w:rPr>
          <w:rFonts w:hint="eastAsia"/>
        </w:rPr>
        <w:t>和专业的管理团队；</w:t>
      </w:r>
    </w:p>
    <w:p>
      <w:pPr>
        <w:ind w:firstLine="640"/>
      </w:pPr>
      <w:r>
        <w:rPr>
          <w:rFonts w:hint="eastAsia"/>
        </w:rPr>
        <w:t>4.各直营门店与食品连锁经营企业之间、各直营门店之间的经营项目、工艺流程布局、设备设施相同或相近；</w:t>
      </w:r>
    </w:p>
    <w:p>
      <w:pPr>
        <w:ind w:firstLine="640"/>
      </w:pPr>
      <w:r>
        <w:rPr>
          <w:rFonts w:hint="eastAsia" w:hAnsi="宋体"/>
          <w:szCs w:val="30"/>
        </w:rPr>
        <w:t>5.</w:t>
      </w:r>
      <w:r>
        <w:rPr>
          <w:rFonts w:hint="eastAsia"/>
        </w:rPr>
        <w:t>食品连锁经营企业</w:t>
      </w:r>
      <w:r>
        <w:rPr>
          <w:rFonts w:hint="eastAsia" w:hAnsi="宋体"/>
          <w:szCs w:val="30"/>
        </w:rPr>
        <w:t>应当符合</w:t>
      </w:r>
      <w:r>
        <w:rPr>
          <w:rFonts w:hint="eastAsia"/>
        </w:rPr>
        <w:t>《中华人民共和国食品安全法》《食品经营许可管理办法》《北京市食品经营许可管理办法》等</w:t>
      </w:r>
      <w:r>
        <w:t>规定</w:t>
      </w:r>
      <w:r>
        <w:rPr>
          <w:rFonts w:hint="eastAsia"/>
        </w:rPr>
        <w:t>的从事食品经营的基本条件</w:t>
      </w:r>
      <w:r>
        <w:rPr>
          <w:rFonts w:hint="eastAsia"/>
          <w:lang w:eastAsia="zh-CN"/>
        </w:rPr>
        <w:t>；</w:t>
      </w:r>
    </w:p>
    <w:p>
      <w:pPr>
        <w:ind w:firstLine="640"/>
        <w:rPr>
          <w:rFonts w:hint="eastAsia"/>
        </w:rPr>
      </w:pPr>
      <w:r>
        <w:rPr>
          <w:rFonts w:hint="eastAsia"/>
          <w:lang w:val="en-US" w:eastAsia="zh-CN"/>
        </w:rPr>
        <w:t>6.</w:t>
      </w:r>
      <w:r>
        <w:rPr>
          <w:rFonts w:hint="eastAsia"/>
        </w:rPr>
        <w:t>国家</w:t>
      </w:r>
      <w:r>
        <w:rPr>
          <w:rFonts w:hint="eastAsia"/>
          <w:lang w:val="en-US" w:eastAsia="zh-CN"/>
        </w:rPr>
        <w:t>法律</w:t>
      </w:r>
      <w:r>
        <w:rPr>
          <w:rFonts w:hint="eastAsia"/>
        </w:rPr>
        <w:t>法规规章做出明确规定的，依其规定执行。</w:t>
      </w:r>
    </w:p>
    <w:p>
      <w:pPr>
        <w:ind w:firstLine="640"/>
      </w:pPr>
      <w:r>
        <w:rPr>
          <w:rFonts w:hint="eastAsia"/>
        </w:rPr>
        <w:t>对于承接群体性聚餐的大型及以上餐饮经营者、中央厨房、集体用餐配送单位等主体业态，监管、执法部门反馈风险等级高、信用差的企业，有较严重的不良信用记录或者存在曾作出虚假承诺等情形且信用未修复的企业等，不适用“</w:t>
      </w:r>
      <w:r>
        <w:rPr>
          <w:rFonts w:hint="default"/>
          <w:lang w:val="en-US"/>
        </w:rPr>
        <w:t>一证多址</w:t>
      </w:r>
      <w:r>
        <w:rPr>
          <w:rFonts w:hint="eastAsia"/>
        </w:rPr>
        <w:t>”改革。</w:t>
      </w:r>
    </w:p>
    <w:p>
      <w:pPr>
        <w:pStyle w:val="3"/>
        <w:ind w:firstLine="640"/>
      </w:pPr>
      <w:r>
        <w:rPr>
          <w:rFonts w:hint="eastAsia"/>
        </w:rPr>
        <w:t>三、办理流程</w:t>
      </w:r>
    </w:p>
    <w:p>
      <w:pPr>
        <w:ind w:firstLine="640"/>
      </w:pPr>
      <w:r>
        <w:rPr>
          <w:rFonts w:hint="eastAsia" w:ascii="楷体_GB2312" w:hAnsi="楷体_GB2312" w:eastAsia="楷体_GB2312" w:cs="楷体_GB2312"/>
        </w:rPr>
        <w:t>（一）申请和资格审查。</w:t>
      </w:r>
      <w:r>
        <w:rPr>
          <w:rFonts w:hint="eastAsia"/>
        </w:rPr>
        <w:t>食品连锁经营企业按照自愿原则，通过北京市政务服务网（经开区政务网站）或线下政务服务大厅，提出“</w:t>
      </w:r>
      <w:r>
        <w:rPr>
          <w:rFonts w:hint="default"/>
          <w:lang w:val="en-US"/>
        </w:rPr>
        <w:t>一证多址</w:t>
      </w:r>
      <w:r>
        <w:rPr>
          <w:rFonts w:hint="eastAsia"/>
        </w:rPr>
        <w:t>”资格申请，审批部门按照本方案相关要求对企业的基本情况、规范经营管理、食品安全管理制度</w:t>
      </w:r>
      <w:r>
        <w:rPr>
          <w:rFonts w:hint="eastAsia"/>
          <w:lang w:eastAsia="zh-CN"/>
        </w:rPr>
        <w:t>、</w:t>
      </w:r>
      <w:r>
        <w:rPr>
          <w:rFonts w:hint="eastAsia"/>
          <w:lang w:val="en-US" w:eastAsia="zh-CN"/>
        </w:rPr>
        <w:t>公共信用情况</w:t>
      </w:r>
      <w:r>
        <w:rPr>
          <w:rFonts w:hint="eastAsia"/>
        </w:rPr>
        <w:t>等进行审查。必要时，审批部门可函请住所地市场监管部门协助提供监管执法信息作为审查参考。食品连锁经营企业可以单独提出资格申请，也可以在</w:t>
      </w:r>
      <w:r>
        <w:rPr>
          <w:rFonts w:hint="eastAsia"/>
          <w:lang w:val="en-US" w:eastAsia="zh-CN"/>
        </w:rPr>
        <w:t>新</w:t>
      </w:r>
      <w:r>
        <w:rPr>
          <w:rFonts w:hint="eastAsia"/>
        </w:rPr>
        <w:t>办</w:t>
      </w:r>
      <w:r>
        <w:rPr>
          <w:rFonts w:hint="eastAsia"/>
          <w:lang w:eastAsia="zh-CN"/>
        </w:rPr>
        <w:t>、</w:t>
      </w:r>
      <w:r>
        <w:rPr>
          <w:rFonts w:hint="eastAsia"/>
          <w:lang w:val="en-US" w:eastAsia="zh-CN"/>
        </w:rPr>
        <w:t>变更或延续</w:t>
      </w:r>
      <w:r>
        <w:rPr>
          <w:rFonts w:hint="eastAsia"/>
        </w:rPr>
        <w:t>直营门店时同步提出申请。</w:t>
      </w:r>
    </w:p>
    <w:p>
      <w:pPr>
        <w:numPr>
          <w:ilvl w:val="255"/>
          <w:numId w:val="0"/>
        </w:numPr>
        <w:ind w:firstLine="640"/>
        <w:rPr>
          <w:rFonts w:hAnsi="仿宋" w:cs="仿宋"/>
        </w:rPr>
      </w:pPr>
      <w:r>
        <w:rPr>
          <w:rFonts w:hint="eastAsia" w:ascii="楷体_GB2312" w:hAnsi="楷体_GB2312" w:eastAsia="楷体_GB2312" w:cs="楷体_GB2312"/>
        </w:rPr>
        <w:t>（二）制发《综合许可资格证》。</w:t>
      </w:r>
      <w:r>
        <w:rPr>
          <w:rFonts w:hint="eastAsia" w:hAnsi="宋体"/>
          <w:szCs w:val="30"/>
        </w:rPr>
        <w:t>经资格审查</w:t>
      </w:r>
      <w:r>
        <w:rPr>
          <w:rFonts w:hint="eastAsia" w:hAnsi="宋体"/>
          <w:color w:val="auto"/>
          <w:szCs w:val="30"/>
        </w:rPr>
        <w:t>合格的，审批部门向</w:t>
      </w:r>
      <w:r>
        <w:rPr>
          <w:rFonts w:hint="eastAsia"/>
        </w:rPr>
        <w:t>食品连锁经营企业发放《综合许可资格证》</w:t>
      </w:r>
      <w:r>
        <w:rPr>
          <w:rFonts w:hint="eastAsia" w:hAnsi="宋体"/>
          <w:color w:val="auto"/>
          <w:szCs w:val="30"/>
        </w:rPr>
        <w:t>，授予其在区域内开设直营门店</w:t>
      </w:r>
      <w:r>
        <w:rPr>
          <w:rFonts w:hint="eastAsia" w:hAnsi="宋体"/>
          <w:color w:val="auto"/>
          <w:szCs w:val="30"/>
          <w:lang w:val="en-US" w:eastAsia="zh-CN"/>
        </w:rPr>
        <w:t>或已有直营门店变更、延续</w:t>
      </w:r>
      <w:r>
        <w:rPr>
          <w:rFonts w:hint="eastAsia" w:hAnsi="宋体"/>
          <w:color w:val="auto"/>
          <w:szCs w:val="30"/>
        </w:rPr>
        <w:t>时可以信用“秒批”的资格，原则上</w:t>
      </w:r>
      <w:r>
        <w:rPr>
          <w:rFonts w:hint="eastAsia"/>
        </w:rPr>
        <w:t>有效期5</w:t>
      </w:r>
      <w:r>
        <w:t>年</w:t>
      </w:r>
      <w:r>
        <w:rPr>
          <w:rFonts w:hint="eastAsia"/>
        </w:rPr>
        <w:t>，随食品连锁经营企业</w:t>
      </w:r>
      <w:r>
        <w:rPr>
          <w:rFonts w:hint="eastAsia"/>
          <w:lang w:eastAsia="zh-CN"/>
        </w:rPr>
        <w:t>许可证有效期以及</w:t>
      </w:r>
      <w:r>
        <w:rPr>
          <w:rFonts w:hint="eastAsia"/>
        </w:rPr>
        <w:t>改革</w:t>
      </w:r>
      <w:r>
        <w:rPr>
          <w:rFonts w:hint="eastAsia"/>
          <w:lang w:val="en-US" w:eastAsia="zh-CN"/>
        </w:rPr>
        <w:t>推进</w:t>
      </w:r>
      <w:r>
        <w:rPr>
          <w:rFonts w:hint="eastAsia"/>
        </w:rPr>
        <w:t>情况</w:t>
      </w:r>
      <w:r>
        <w:rPr>
          <w:rFonts w:hint="eastAsia"/>
          <w:lang w:eastAsia="zh-CN"/>
        </w:rPr>
        <w:t>适时</w:t>
      </w:r>
      <w:r>
        <w:rPr>
          <w:rFonts w:hint="eastAsia"/>
        </w:rPr>
        <w:t>调整。</w:t>
      </w:r>
      <w:r>
        <w:rPr>
          <w:rFonts w:hint="eastAsia" w:hAnsi="仿宋" w:cs="仿宋"/>
        </w:rPr>
        <w:t>对未申请资格审查或经审查未通过的</w:t>
      </w:r>
      <w:r>
        <w:rPr>
          <w:rFonts w:hint="eastAsia"/>
        </w:rPr>
        <w:t>食品连锁经营企业</w:t>
      </w:r>
      <w:r>
        <w:rPr>
          <w:rFonts w:hint="eastAsia" w:hAnsi="仿宋" w:cs="仿宋"/>
        </w:rPr>
        <w:t>，仍按一般许可程序办理。</w:t>
      </w:r>
    </w:p>
    <w:p>
      <w:pPr>
        <w:numPr>
          <w:ilvl w:val="255"/>
          <w:numId w:val="0"/>
        </w:numPr>
        <w:ind w:firstLine="640"/>
        <w:rPr>
          <w:rFonts w:hAnsi="仿宋" w:cs="仿宋"/>
        </w:rPr>
      </w:pPr>
      <w:r>
        <w:rPr>
          <w:rFonts w:hint="eastAsia" w:ascii="楷体_GB2312" w:eastAsia="楷体_GB2312"/>
        </w:rPr>
        <w:t>（三）</w:t>
      </w:r>
      <w:r>
        <w:rPr>
          <w:rFonts w:hint="eastAsia" w:ascii="楷体_GB2312" w:eastAsia="楷体_GB2312"/>
          <w:lang w:val="en-US" w:eastAsia="zh-CN"/>
        </w:rPr>
        <w:t>新</w:t>
      </w:r>
      <w:r>
        <w:rPr>
          <w:rFonts w:hint="eastAsia" w:ascii="楷体_GB2312" w:eastAsia="楷体_GB2312"/>
        </w:rPr>
        <w:t>办</w:t>
      </w:r>
      <w:r>
        <w:rPr>
          <w:rFonts w:hint="eastAsia" w:ascii="楷体_GB2312" w:eastAsia="楷体_GB2312"/>
          <w:lang w:val="en-US" w:eastAsia="zh-CN"/>
        </w:rPr>
        <w:t>/变更/延续</w:t>
      </w:r>
      <w:r>
        <w:rPr>
          <w:rFonts w:hint="eastAsia" w:ascii="楷体_GB2312" w:eastAsia="楷体_GB2312"/>
        </w:rPr>
        <w:t>直营门店。</w:t>
      </w:r>
      <w:r>
        <w:rPr>
          <w:rFonts w:hint="eastAsia" w:hAnsi="仿宋" w:cs="仿宋"/>
        </w:rPr>
        <w:t>《综合许可资格证》有效期内，食品连锁经营企业在区域内</w:t>
      </w:r>
      <w:r>
        <w:rPr>
          <w:rFonts w:hint="eastAsia" w:hAnsi="仿宋" w:cs="仿宋"/>
          <w:lang w:val="en-US" w:eastAsia="zh-CN"/>
        </w:rPr>
        <w:t>新</w:t>
      </w:r>
      <w:r>
        <w:rPr>
          <w:rFonts w:hint="eastAsia" w:hAnsi="仿宋" w:cs="仿宋"/>
        </w:rPr>
        <w:t>办直营门店或已有直营门店</w:t>
      </w:r>
      <w:r>
        <w:rPr>
          <w:rFonts w:hint="eastAsia" w:hAnsi="仿宋" w:cs="仿宋"/>
          <w:lang w:val="en-US" w:eastAsia="zh-CN"/>
        </w:rPr>
        <w:t>变更、</w:t>
      </w:r>
      <w:r>
        <w:rPr>
          <w:rFonts w:hint="eastAsia" w:hAnsi="仿宋" w:cs="仿宋"/>
        </w:rPr>
        <w:t>延续时，可以选择</w:t>
      </w:r>
      <w:r>
        <w:rPr>
          <w:rFonts w:hint="eastAsia" w:hAnsi="仿宋" w:cs="仿宋"/>
          <w:lang w:val="en-US" w:eastAsia="zh-CN"/>
        </w:rPr>
        <w:t>一般许可</w:t>
      </w:r>
      <w:r>
        <w:rPr>
          <w:rFonts w:hint="eastAsia" w:hAnsi="仿宋" w:cs="仿宋"/>
        </w:rPr>
        <w:t>方式办理，也可以选择“一证多址”方式办理。</w:t>
      </w:r>
      <w:r>
        <w:rPr>
          <w:rFonts w:hint="default" w:hAnsi="仿宋" w:cs="仿宋"/>
        </w:rPr>
        <w:t>选择“一证多址”方式办理时，审批部门</w:t>
      </w:r>
      <w:r>
        <w:rPr>
          <w:rFonts w:hint="eastAsia" w:hAnsi="仿宋" w:cs="仿宋"/>
          <w:lang w:eastAsia="zh-CN"/>
        </w:rPr>
        <w:t>通过</w:t>
      </w:r>
      <w:r>
        <w:rPr>
          <w:rFonts w:hint="default" w:hAnsi="仿宋" w:cs="仿宋"/>
        </w:rPr>
        <w:t>事前技术指导</w:t>
      </w:r>
      <w:r>
        <w:rPr>
          <w:rFonts w:hint="eastAsia" w:hAnsi="仿宋" w:cs="仿宋"/>
        </w:rPr>
        <w:t>实</w:t>
      </w:r>
      <w:r>
        <w:rPr>
          <w:rFonts w:hint="default" w:hAnsi="仿宋" w:cs="仿宋"/>
          <w:lang w:val="en-US"/>
        </w:rPr>
        <w:t>施</w:t>
      </w:r>
      <w:r>
        <w:rPr>
          <w:rFonts w:hint="eastAsia" w:hAnsi="仿宋" w:cs="仿宋"/>
        </w:rPr>
        <w:t>“秒批”，并将直营门店信息记载至《综合许可资格证》二维码中。</w:t>
      </w:r>
    </w:p>
    <w:p>
      <w:pPr>
        <w:ind w:firstLine="640" w:firstLineChars="0"/>
        <w:rPr>
          <w:rFonts w:hAnsi="仿宋" w:cs="仿宋"/>
        </w:rPr>
      </w:pPr>
      <w:r>
        <w:rPr>
          <w:rFonts w:hint="eastAsia" w:ascii="楷体_GB2312" w:eastAsia="楷体_GB2312"/>
        </w:rPr>
        <w:t>（</w:t>
      </w:r>
      <w:r>
        <w:rPr>
          <w:rFonts w:hint="eastAsia" w:ascii="楷体_GB2312" w:eastAsia="楷体_GB2312"/>
          <w:lang w:val="en-US" w:eastAsia="zh-CN"/>
        </w:rPr>
        <w:t>四</w:t>
      </w:r>
      <w:r>
        <w:rPr>
          <w:rFonts w:hint="eastAsia" w:ascii="楷体_GB2312" w:eastAsia="楷体_GB2312"/>
        </w:rPr>
        <w:t>）守信核查。</w:t>
      </w:r>
      <w:r>
        <w:rPr>
          <w:rFonts w:hint="eastAsia" w:hAnsi="宋体"/>
          <w:color w:val="auto"/>
          <w:szCs w:val="30"/>
        </w:rPr>
        <w:t>审批部门应当自作出许可之日起20个工作日内，对新办</w:t>
      </w:r>
      <w:r>
        <w:rPr>
          <w:rFonts w:hint="eastAsia" w:hAnsi="宋体"/>
          <w:color w:val="auto"/>
          <w:szCs w:val="30"/>
          <w:lang w:eastAsia="zh-CN"/>
        </w:rPr>
        <w:t>、</w:t>
      </w:r>
      <w:r>
        <w:rPr>
          <w:rFonts w:hint="eastAsia" w:hAnsi="宋体"/>
          <w:color w:val="auto"/>
          <w:szCs w:val="30"/>
          <w:lang w:val="en-US" w:eastAsia="zh-CN"/>
        </w:rPr>
        <w:t>变更（经营范围）或延续</w:t>
      </w:r>
      <w:r>
        <w:rPr>
          <w:rFonts w:hint="eastAsia" w:hAnsi="宋体"/>
          <w:color w:val="auto"/>
          <w:szCs w:val="30"/>
        </w:rPr>
        <w:t>直营门店</w:t>
      </w:r>
      <w:r>
        <w:rPr>
          <w:rFonts w:hint="eastAsia" w:hAnsi="仿宋" w:cs="仿宋"/>
        </w:rPr>
        <w:t>开展</w:t>
      </w:r>
      <w:r>
        <w:rPr>
          <w:rFonts w:hAnsi="仿宋" w:cs="仿宋"/>
        </w:rPr>
        <w:t>现场</w:t>
      </w:r>
      <w:r>
        <w:rPr>
          <w:rFonts w:hint="eastAsia" w:hAnsi="仿宋" w:cs="仿宋"/>
        </w:rPr>
        <w:t>检查，重点检查食品经营实际情况与申报内容是否相符、食品经营条件是否符合要求。存在与申报内容</w:t>
      </w:r>
      <w:r>
        <w:rPr>
          <w:rFonts w:hint="eastAsia"/>
        </w:rPr>
        <w:t>不符的，责令其限期整改，整改后仍未达到条件的或逾期拒不整改的，撤销</w:t>
      </w:r>
      <w:r>
        <w:rPr>
          <w:rFonts w:hint="eastAsia" w:hAnsi="宋体"/>
          <w:color w:val="auto"/>
          <w:szCs w:val="30"/>
        </w:rPr>
        <w:t>直营门店</w:t>
      </w:r>
      <w:r>
        <w:rPr>
          <w:rFonts w:hint="eastAsia"/>
        </w:rPr>
        <w:t>的许可决定；存在以欺骗等不正当手段取得行政许可的，直接撤销许可决定。作出撤销决定的，需将</w:t>
      </w:r>
      <w:r>
        <w:rPr>
          <w:rFonts w:hint="eastAsia" w:hAnsi="仿宋" w:cs="仿宋"/>
        </w:rPr>
        <w:t>《综合许可资格证》二维码中的门店信息进行调整。对于</w:t>
      </w:r>
      <w:r>
        <w:rPr>
          <w:rFonts w:hint="eastAsia" w:hAnsi="仿宋" w:cs="仿宋"/>
          <w:lang w:eastAsia="zh-CN"/>
        </w:rPr>
        <w:t>“</w:t>
      </w:r>
      <w:r>
        <w:rPr>
          <w:rFonts w:hint="eastAsia" w:hAnsi="仿宋" w:cs="仿宋"/>
          <w:lang w:val="en-US" w:eastAsia="zh-CN"/>
        </w:rPr>
        <w:t>一证多址</w:t>
      </w:r>
      <w:r>
        <w:rPr>
          <w:rFonts w:hint="eastAsia" w:hAnsi="仿宋" w:cs="仿宋"/>
          <w:lang w:eastAsia="zh-CN"/>
        </w:rPr>
        <w:t>”</w:t>
      </w:r>
      <w:r>
        <w:rPr>
          <w:rFonts w:hint="eastAsia" w:hAnsi="仿宋" w:cs="仿宋"/>
        </w:rPr>
        <w:t>办理过程中形成的所有材料，实施统一归档管理。</w:t>
      </w:r>
    </w:p>
    <w:p>
      <w:pPr>
        <w:ind w:firstLine="640" w:firstLineChars="0"/>
        <w:rPr>
          <w:rFonts w:hAnsi="仿宋" w:cs="仿宋"/>
        </w:rPr>
      </w:pPr>
      <w:r>
        <w:rPr>
          <w:rFonts w:hint="eastAsia" w:ascii="楷体_GB2312" w:eastAsia="楷体_GB2312"/>
        </w:rPr>
        <w:t>（</w:t>
      </w:r>
      <w:r>
        <w:rPr>
          <w:rFonts w:hint="eastAsia" w:ascii="楷体_GB2312" w:eastAsia="楷体_GB2312"/>
          <w:lang w:val="en-US" w:eastAsia="zh-CN"/>
        </w:rPr>
        <w:t>五</w:t>
      </w:r>
      <w:r>
        <w:rPr>
          <w:rFonts w:hint="eastAsia" w:ascii="楷体_GB2312" w:eastAsia="楷体_GB2312"/>
        </w:rPr>
        <w:t>）实施多项改革措施叠加。</w:t>
      </w:r>
      <w:r>
        <w:rPr>
          <w:rFonts w:hint="eastAsia" w:hAnsi="仿宋" w:cs="仿宋"/>
        </w:rPr>
        <w:t>食品连锁经营企业的资格审查和直营门店</w:t>
      </w:r>
      <w:r>
        <w:rPr>
          <w:rFonts w:hint="eastAsia" w:hAnsi="仿宋" w:cs="仿宋"/>
          <w:lang w:eastAsia="zh-CN"/>
        </w:rPr>
        <w:t>“</w:t>
      </w:r>
      <w:r>
        <w:rPr>
          <w:rFonts w:hint="eastAsia" w:hAnsi="仿宋" w:cs="仿宋"/>
          <w:lang w:val="en-US" w:eastAsia="zh-CN"/>
        </w:rPr>
        <w:t>秒批</w:t>
      </w:r>
      <w:r>
        <w:rPr>
          <w:rFonts w:hint="eastAsia" w:hAnsi="仿宋" w:cs="仿宋"/>
          <w:lang w:eastAsia="zh-CN"/>
        </w:rPr>
        <w:t>”</w:t>
      </w:r>
      <w:r>
        <w:rPr>
          <w:rFonts w:hint="eastAsia" w:hAnsi="仿宋" w:cs="仿宋"/>
        </w:rPr>
        <w:t>的审查决定，</w:t>
      </w:r>
      <w:r>
        <w:rPr>
          <w:rFonts w:hint="eastAsia" w:hAnsi="仿宋" w:cs="仿宋"/>
          <w:lang w:val="en-US" w:eastAsia="zh-CN"/>
        </w:rPr>
        <w:t>纳入</w:t>
      </w:r>
      <w:r>
        <w:rPr>
          <w:rFonts w:hint="eastAsia" w:hAnsi="仿宋" w:cs="仿宋"/>
        </w:rPr>
        <w:t>“首席审批师”</w:t>
      </w:r>
      <w:r>
        <w:rPr>
          <w:rFonts w:hint="eastAsia" w:hAnsi="仿宋" w:cs="仿宋"/>
          <w:lang w:val="en-US" w:eastAsia="zh-CN"/>
        </w:rPr>
        <w:t>办理范围</w:t>
      </w:r>
      <w:r>
        <w:rPr>
          <w:rFonts w:hint="eastAsia" w:hAnsi="仿宋" w:cs="仿宋"/>
        </w:rPr>
        <w:t>。</w:t>
      </w:r>
      <w:r>
        <w:rPr>
          <w:rFonts w:hint="eastAsia" w:hAnsi="仿宋" w:cs="仿宋"/>
          <w:lang w:val="en-US" w:eastAsia="zh-CN"/>
        </w:rPr>
        <w:t>审批部门开展资格审查和</w:t>
      </w:r>
      <w:r>
        <w:rPr>
          <w:rFonts w:hint="eastAsia" w:hAnsi="仿宋" w:cs="仿宋"/>
          <w:lang w:eastAsia="zh-CN"/>
        </w:rPr>
        <w:t>守信核查</w:t>
      </w:r>
      <w:r>
        <w:rPr>
          <w:rFonts w:hint="eastAsia" w:hAnsi="仿宋" w:cs="仿宋"/>
          <w:lang w:val="en-US" w:eastAsia="zh-CN"/>
        </w:rPr>
        <w:t>，运用“云踏勘”方式，提高审批效率；直营门店</w:t>
      </w:r>
      <w:r>
        <w:rPr>
          <w:rFonts w:hint="eastAsia" w:hAnsi="仿宋" w:cs="仿宋"/>
        </w:rPr>
        <w:t>的营业执照和</w:t>
      </w:r>
      <w:r>
        <w:rPr>
          <w:rFonts w:hint="eastAsia" w:hAnsi="仿宋" w:cs="仿宋"/>
          <w:lang w:eastAsia="zh-CN"/>
        </w:rPr>
        <w:t>“</w:t>
      </w:r>
      <w:r>
        <w:rPr>
          <w:rFonts w:hint="eastAsia" w:hAnsi="仿宋" w:cs="仿宋"/>
          <w:lang w:val="en-US" w:eastAsia="zh-CN"/>
        </w:rPr>
        <w:t>一证多址</w:t>
      </w:r>
      <w:r>
        <w:rPr>
          <w:rFonts w:hint="eastAsia" w:hAnsi="仿宋" w:cs="仿宋"/>
          <w:lang w:eastAsia="zh-CN"/>
        </w:rPr>
        <w:t>”</w:t>
      </w:r>
      <w:r>
        <w:rPr>
          <w:rFonts w:hint="eastAsia" w:hAnsi="仿宋" w:cs="仿宋"/>
        </w:rPr>
        <w:t>可以同步办理，实现“证照联办”。多项改革措施叠加的，推动材料去重复用，最大程度精简申请材料。</w:t>
      </w:r>
    </w:p>
    <w:p>
      <w:pPr>
        <w:ind w:firstLine="640" w:firstLineChars="0"/>
      </w:pPr>
      <w:r>
        <w:rPr>
          <w:rFonts w:hint="eastAsia" w:ascii="楷体_GB2312" w:eastAsia="楷体_GB2312"/>
        </w:rPr>
        <w:t>（六）审管执联动。</w:t>
      </w:r>
      <w:r>
        <w:rPr>
          <w:rFonts w:hint="eastAsia"/>
        </w:rPr>
        <w:t>强化数据共享，审批部门应当及时将“一证多址”办理情况推送事中事后监管、执法部门</w:t>
      </w:r>
      <w:r>
        <w:rPr>
          <w:rFonts w:hint="eastAsia"/>
          <w:lang w:eastAsia="zh-CN"/>
        </w:rPr>
        <w:t>；</w:t>
      </w:r>
      <w:r>
        <w:rPr>
          <w:rFonts w:hint="eastAsia"/>
        </w:rPr>
        <w:t>监管、执法部门按照相关食品经营管理规范要求对直营门店开展监管、执法工作，工作中发现食品连锁</w:t>
      </w:r>
      <w:r>
        <w:rPr>
          <w:rFonts w:hint="eastAsia"/>
          <w:lang w:eastAsia="zh-CN"/>
        </w:rPr>
        <w:t>经营</w:t>
      </w:r>
      <w:r>
        <w:rPr>
          <w:rFonts w:hint="eastAsia"/>
        </w:rPr>
        <w:t>企业或直营门店出现重大经营风险的，应及时告知审批部门，涉及其他区的还应当告知属地市场监管部门。</w:t>
      </w:r>
    </w:p>
    <w:p>
      <w:pPr>
        <w:ind w:firstLine="640" w:firstLineChars="0"/>
        <w:rPr>
          <w:rFonts w:hAnsi="仿宋" w:cs="仿宋"/>
        </w:rPr>
      </w:pPr>
      <w:r>
        <w:rPr>
          <w:rFonts w:hint="eastAsia" w:ascii="楷体_GB2312" w:eastAsia="楷体_GB2312"/>
        </w:rPr>
        <w:t>（七）风险信用监管。</w:t>
      </w:r>
      <w:r>
        <w:rPr>
          <w:rFonts w:hint="eastAsia"/>
        </w:rPr>
        <w:t>食品连锁</w:t>
      </w:r>
      <w:r>
        <w:rPr>
          <w:rFonts w:hint="eastAsia"/>
          <w:lang w:eastAsia="zh-CN"/>
        </w:rPr>
        <w:t>经营</w:t>
      </w:r>
      <w:r>
        <w:rPr>
          <w:rFonts w:hint="eastAsia"/>
        </w:rPr>
        <w:t>企业存在重大风险隐患、严重失信行为、重大违法行为、重大社会不良影响等情形，不宜适用“一证多址”改革或无法满足本方案规定条件的</w:t>
      </w:r>
      <w:r>
        <w:rPr>
          <w:rFonts w:hint="eastAsia" w:hAnsi="仿宋" w:cs="仿宋"/>
        </w:rPr>
        <w:t>，取消其“一证多址”资格，收回《</w:t>
      </w:r>
      <w:r>
        <w:rPr>
          <w:rFonts w:hint="eastAsia" w:hAnsi="宋体"/>
          <w:szCs w:val="30"/>
        </w:rPr>
        <w:t>综合许可资格证</w:t>
      </w:r>
      <w:r>
        <w:rPr>
          <w:rFonts w:hint="eastAsia" w:hAnsi="仿宋" w:cs="仿宋"/>
        </w:rPr>
        <w:t>》。相关信息推送至</w:t>
      </w:r>
      <w:r>
        <w:rPr>
          <w:rFonts w:hint="eastAsia"/>
        </w:rPr>
        <w:t>监管、执法部门或属地市场监管部门</w:t>
      </w:r>
      <w:r>
        <w:rPr>
          <w:rFonts w:hAnsi="仿宋" w:cs="仿宋"/>
        </w:rPr>
        <w:t>。</w:t>
      </w:r>
    </w:p>
    <w:p>
      <w:pPr>
        <w:pStyle w:val="4"/>
        <w:ind w:firstLine="640"/>
        <w:rPr>
          <w:rFonts w:ascii="楷体_GB2312" w:hAnsi="楷体_GB2312" w:eastAsia="楷体_GB2312" w:cs="楷体_GB2312"/>
        </w:rPr>
      </w:pPr>
      <w:r>
        <w:rPr>
          <w:rFonts w:hint="eastAsia" w:ascii="楷体_GB2312" w:hAnsi="楷体_GB2312" w:eastAsia="楷体_GB2312" w:cs="楷体_GB2312"/>
        </w:rPr>
        <w:t>（八）</w:t>
      </w:r>
      <w:r>
        <w:rPr>
          <w:rFonts w:hint="eastAsia" w:ascii="楷体_GB2312" w:hAnsi="楷体_GB2312" w:eastAsia="楷体_GB2312" w:cs="楷体_GB2312"/>
          <w:szCs w:val="30"/>
        </w:rPr>
        <w:t>《综合许可资格证》</w:t>
      </w:r>
      <w:r>
        <w:rPr>
          <w:rFonts w:hint="eastAsia" w:ascii="楷体_GB2312" w:hAnsi="楷体_GB2312" w:eastAsia="楷体_GB2312" w:cs="楷体_GB2312"/>
        </w:rPr>
        <w:t>的变更、延续和注销</w:t>
      </w:r>
    </w:p>
    <w:p>
      <w:pPr>
        <w:tabs>
          <w:tab w:val="left" w:pos="790"/>
          <w:tab w:val="left" w:pos="1264"/>
        </w:tabs>
        <w:overflowPunct w:val="0"/>
        <w:adjustRightInd w:val="0"/>
        <w:snapToGrid w:val="0"/>
        <w:ind w:firstLine="643"/>
        <w:rPr>
          <w:rFonts w:hAnsi="宋体"/>
          <w:szCs w:val="30"/>
        </w:rPr>
      </w:pPr>
      <w:r>
        <w:rPr>
          <w:rFonts w:hint="eastAsia" w:hAnsi="宋体"/>
          <w:b/>
          <w:bCs/>
          <w:szCs w:val="30"/>
        </w:rPr>
        <w:t>1.变更。</w:t>
      </w:r>
      <w:r>
        <w:rPr>
          <w:rFonts w:hint="eastAsia" w:hAnsi="宋体"/>
          <w:szCs w:val="30"/>
        </w:rPr>
        <w:t>证面信息变更的，审批部门应当为其换发新证。</w:t>
      </w:r>
      <w:r>
        <w:rPr>
          <w:rFonts w:hint="eastAsia"/>
        </w:rPr>
        <w:t>食品连锁经营企业</w:t>
      </w:r>
      <w:r>
        <w:rPr>
          <w:rFonts w:hint="eastAsia" w:hAnsi="宋体"/>
          <w:szCs w:val="30"/>
        </w:rPr>
        <w:t>主体业态、经营项目等实质内容变更的，应当重新进行资格审查。</w:t>
      </w:r>
    </w:p>
    <w:p>
      <w:pPr>
        <w:tabs>
          <w:tab w:val="left" w:pos="790"/>
          <w:tab w:val="left" w:pos="1264"/>
        </w:tabs>
        <w:overflowPunct w:val="0"/>
        <w:adjustRightInd w:val="0"/>
        <w:snapToGrid w:val="0"/>
        <w:ind w:firstLine="643"/>
        <w:rPr>
          <w:rFonts w:hAnsi="宋体"/>
          <w:szCs w:val="30"/>
        </w:rPr>
      </w:pPr>
      <w:r>
        <w:rPr>
          <w:rFonts w:hint="eastAsia" w:hAnsi="宋体"/>
          <w:b/>
          <w:bCs/>
          <w:szCs w:val="30"/>
        </w:rPr>
        <w:t>2.延续。</w:t>
      </w:r>
      <w:r>
        <w:rPr>
          <w:rFonts w:hint="eastAsia"/>
        </w:rPr>
        <w:t>食品连锁经营企业可以在《综合许可资格证》有效期届满30</w:t>
      </w:r>
      <w:r>
        <w:rPr>
          <w:rFonts w:hint="eastAsia"/>
          <w:lang w:val="en-US" w:eastAsia="zh-CN"/>
        </w:rPr>
        <w:t>个工作日前</w:t>
      </w:r>
      <w:r>
        <w:rPr>
          <w:rFonts w:hint="eastAsia"/>
        </w:rPr>
        <w:t>，申请资格延续</w:t>
      </w:r>
      <w:r>
        <w:rPr>
          <w:rFonts w:hint="eastAsia" w:hAnsi="宋体"/>
          <w:szCs w:val="30"/>
        </w:rPr>
        <w:t>。逾期未申请的，需重新进行资格审查。</w:t>
      </w:r>
    </w:p>
    <w:p>
      <w:pPr>
        <w:overflowPunct/>
        <w:adjustRightInd/>
        <w:snapToGrid/>
        <w:ind w:firstLine="640" w:firstLineChars="0"/>
        <w:rPr>
          <w:rFonts w:hAnsi="仿宋" w:cs="仿宋"/>
        </w:rPr>
      </w:pPr>
      <w:r>
        <w:rPr>
          <w:rFonts w:hint="eastAsia"/>
          <w:b/>
          <w:bCs/>
        </w:rPr>
        <w:t>3.注销</w:t>
      </w:r>
      <w:r>
        <w:rPr>
          <w:rFonts w:hint="eastAsia"/>
        </w:rPr>
        <w:t>。申请人可以申请注销。食品连锁经营企业《综合许可资格证》有效期届满未申请延续，或者</w:t>
      </w:r>
      <w:r>
        <w:rPr>
          <w:rFonts w:hint="eastAsia" w:hAnsi="仿宋" w:cs="仿宋"/>
        </w:rPr>
        <w:t>“一证多址”资格</w:t>
      </w:r>
      <w:r>
        <w:rPr>
          <w:rFonts w:hint="eastAsia"/>
        </w:rPr>
        <w:t>被取消的，审批部门应当</w:t>
      </w:r>
      <w:r>
        <w:rPr>
          <w:rFonts w:hint="eastAsia"/>
          <w:lang w:val="en-US" w:eastAsia="zh-CN"/>
        </w:rPr>
        <w:t>予以</w:t>
      </w:r>
      <w:r>
        <w:rPr>
          <w:rFonts w:hint="eastAsia"/>
        </w:rPr>
        <w:t>吊销或注销，并告知</w:t>
      </w:r>
      <w:r>
        <w:rPr>
          <w:rFonts w:hint="eastAsia"/>
          <w:lang w:val="en-US" w:eastAsia="zh-CN"/>
        </w:rPr>
        <w:t>相关</w:t>
      </w:r>
      <w:r>
        <w:rPr>
          <w:rFonts w:hint="eastAsia"/>
        </w:rPr>
        <w:t>监管、执法部门</w:t>
      </w:r>
      <w:r>
        <w:rPr>
          <w:rFonts w:hAnsi="仿宋" w:cs="仿宋"/>
        </w:rPr>
        <w:t>。</w:t>
      </w:r>
    </w:p>
    <w:p>
      <w:pPr>
        <w:overflowPunct/>
        <w:adjustRightInd/>
        <w:snapToGrid/>
        <w:ind w:firstLine="640" w:firstLineChars="0"/>
        <w:rPr>
          <w:rFonts w:hint="eastAsia" w:hAnsi="仿宋" w:eastAsia="仿宋_GB2312" w:cs="仿宋"/>
          <w:b w:val="0"/>
          <w:bCs w:val="0"/>
          <w:szCs w:val="32"/>
          <w:lang w:eastAsia="zh-CN"/>
        </w:rPr>
      </w:pPr>
      <w:r>
        <w:rPr>
          <w:rFonts w:hint="eastAsia"/>
        </w:rPr>
        <w:t>食品连锁</w:t>
      </w:r>
      <w:r>
        <w:rPr>
          <w:rFonts w:hint="eastAsia"/>
          <w:lang w:eastAsia="zh-CN"/>
        </w:rPr>
        <w:t>经营</w:t>
      </w:r>
      <w:r>
        <w:rPr>
          <w:rFonts w:hint="eastAsia"/>
        </w:rPr>
        <w:t>企业工艺流程布局</w:t>
      </w:r>
      <w:r>
        <w:rPr>
          <w:rFonts w:hint="eastAsia"/>
          <w:lang w:eastAsia="zh-CN"/>
        </w:rPr>
        <w:t>等实质内容发生改变，可能影响“一证多址”改革实施的</w:t>
      </w:r>
      <w:r>
        <w:rPr>
          <w:rFonts w:hint="eastAsia" w:hAnsi="仿宋" w:cs="仿宋"/>
          <w:b w:val="0"/>
          <w:bCs w:val="0"/>
          <w:szCs w:val="32"/>
          <w:lang w:eastAsia="zh-CN"/>
        </w:rPr>
        <w:t>，应当及时告知审批部门，并按照上述相关流程办理。</w:t>
      </w:r>
    </w:p>
    <w:p>
      <w:pPr>
        <w:ind w:firstLine="640"/>
        <w:rPr>
          <w:rFonts w:ascii="楷体_GB2312" w:eastAsia="楷体_GB2312" w:hAnsiTheme="majorHAnsi" w:cstheme="majorBidi"/>
          <w:bCs/>
          <w:color w:val="000000" w:themeColor="text1"/>
          <w14:textFill>
            <w14:solidFill>
              <w14:schemeClr w14:val="tx1"/>
            </w14:solidFill>
          </w14:textFill>
        </w:rPr>
      </w:pPr>
      <w:r>
        <w:rPr>
          <w:rFonts w:hint="eastAsia" w:ascii="黑体" w:hAnsi="黑体" w:eastAsia="黑体" w:cs="黑体"/>
        </w:rPr>
        <w:t>四、工作要求</w:t>
      </w:r>
    </w:p>
    <w:p>
      <w:pPr>
        <w:ind w:firstLine="640"/>
      </w:pPr>
      <w:r>
        <w:rPr>
          <w:rFonts w:ascii="楷体_GB2312" w:eastAsia="楷体_GB2312" w:hAnsiTheme="majorHAnsi" w:cstheme="majorBidi"/>
          <w:bCs/>
          <w:color w:val="000000" w:themeColor="text1"/>
          <w14:textFill>
            <w14:solidFill>
              <w14:schemeClr w14:val="tx1"/>
            </w14:solidFill>
          </w14:textFill>
        </w:rPr>
        <w:t>（一）</w:t>
      </w:r>
      <w:r>
        <w:rPr>
          <w:rFonts w:hint="eastAsia" w:ascii="楷体_GB2312" w:eastAsia="楷体_GB2312" w:hAnsiTheme="majorHAnsi" w:cstheme="majorBidi"/>
          <w:bCs/>
          <w:color w:val="000000" w:themeColor="text1"/>
          <w14:textFill>
            <w14:solidFill>
              <w14:schemeClr w14:val="tx1"/>
            </w14:solidFill>
          </w14:textFill>
        </w:rPr>
        <w:t>加强宣传指导</w:t>
      </w:r>
      <w:r>
        <w:rPr>
          <w:rFonts w:ascii="楷体_GB2312" w:eastAsia="楷体_GB2312" w:hAnsiTheme="majorHAnsi" w:cstheme="majorBidi"/>
          <w:bCs/>
          <w:color w:val="000000" w:themeColor="text1"/>
          <w14:textFill>
            <w14:solidFill>
              <w14:schemeClr w14:val="tx1"/>
            </w14:solidFill>
          </w14:textFill>
        </w:rPr>
        <w:t>，</w:t>
      </w:r>
      <w:r>
        <w:rPr>
          <w:rFonts w:hint="eastAsia" w:ascii="楷体_GB2312" w:eastAsia="楷体_GB2312" w:hAnsiTheme="majorHAnsi" w:cstheme="majorBidi"/>
          <w:bCs/>
          <w:color w:val="000000" w:themeColor="text1"/>
          <w14:textFill>
            <w14:solidFill>
              <w14:schemeClr w14:val="tx1"/>
            </w14:solidFill>
          </w14:textFill>
        </w:rPr>
        <w:t>主动推进落实</w:t>
      </w:r>
      <w:r>
        <w:rPr>
          <w:rFonts w:ascii="楷体_GB2312" w:eastAsia="楷体_GB2312" w:hAnsiTheme="majorHAnsi" w:cstheme="majorBidi"/>
          <w:bCs/>
          <w:color w:val="000000" w:themeColor="text1"/>
          <w14:textFill>
            <w14:solidFill>
              <w14:schemeClr w14:val="tx1"/>
            </w14:solidFill>
          </w14:textFill>
        </w:rPr>
        <w:t>。</w:t>
      </w:r>
      <w:r>
        <w:rPr>
          <w:rFonts w:hint="eastAsia"/>
        </w:rPr>
        <w:t>各部门</w:t>
      </w:r>
      <w:r>
        <w:t>要高度重视，采取有效措施，切实做好政策宣传及</w:t>
      </w:r>
      <w:r>
        <w:rPr>
          <w:rFonts w:hint="eastAsia"/>
        </w:rPr>
        <w:t>指导</w:t>
      </w:r>
      <w:r>
        <w:t>工作，稳妥、有序推进“一证多址”的实施。</w:t>
      </w:r>
    </w:p>
    <w:p>
      <w:pPr>
        <w:pStyle w:val="12"/>
        <w:widowControl/>
        <w:shd w:val="clear" w:color="auto" w:fill="auto"/>
        <w:spacing w:beforeAutospacing="0" w:afterAutospacing="0"/>
        <w:ind w:firstLine="640"/>
        <w:jc w:val="both"/>
        <w:rPr>
          <w:rFonts w:cs="仿宋_GB2312"/>
          <w:kern w:val="2"/>
          <w:sz w:val="32"/>
        </w:rPr>
      </w:pPr>
      <w:r>
        <w:rPr>
          <w:rFonts w:ascii="楷体_GB2312" w:eastAsia="楷体_GB2312" w:hAnsiTheme="majorHAnsi" w:cstheme="majorBidi"/>
          <w:bCs/>
          <w:color w:val="000000" w:themeColor="text1"/>
          <w:kern w:val="2"/>
          <w:sz w:val="32"/>
          <w14:textFill>
            <w14:solidFill>
              <w14:schemeClr w14:val="tx1"/>
            </w14:solidFill>
          </w14:textFill>
        </w:rPr>
        <w:t>（二）落实</w:t>
      </w:r>
      <w:r>
        <w:rPr>
          <w:rFonts w:hint="eastAsia" w:ascii="楷体_GB2312" w:eastAsia="楷体_GB2312" w:hAnsiTheme="majorHAnsi" w:cstheme="majorBidi"/>
          <w:bCs/>
          <w:color w:val="000000" w:themeColor="text1"/>
          <w:kern w:val="2"/>
          <w:sz w:val="32"/>
          <w14:textFill>
            <w14:solidFill>
              <w14:schemeClr w14:val="tx1"/>
            </w14:solidFill>
          </w14:textFill>
        </w:rPr>
        <w:t>工作</w:t>
      </w:r>
      <w:r>
        <w:rPr>
          <w:rFonts w:ascii="楷体_GB2312" w:eastAsia="楷体_GB2312" w:hAnsiTheme="majorHAnsi" w:cstheme="majorBidi"/>
          <w:bCs/>
          <w:color w:val="000000" w:themeColor="text1"/>
          <w:kern w:val="2"/>
          <w:sz w:val="32"/>
          <w14:textFill>
            <w14:solidFill>
              <w14:schemeClr w14:val="tx1"/>
            </w14:solidFill>
          </w14:textFill>
        </w:rPr>
        <w:t>职责，</w:t>
      </w:r>
      <w:r>
        <w:rPr>
          <w:rFonts w:hint="eastAsia" w:ascii="楷体_GB2312" w:eastAsia="楷体_GB2312" w:hAnsiTheme="majorHAnsi" w:cstheme="majorBidi"/>
          <w:bCs/>
          <w:color w:val="000000" w:themeColor="text1"/>
          <w:kern w:val="2"/>
          <w:sz w:val="32"/>
          <w14:textFill>
            <w14:solidFill>
              <w14:schemeClr w14:val="tx1"/>
            </w14:solidFill>
          </w14:textFill>
        </w:rPr>
        <w:t>依法有序推进</w:t>
      </w:r>
      <w:r>
        <w:rPr>
          <w:rFonts w:ascii="楷体_GB2312" w:eastAsia="楷体_GB2312" w:hAnsiTheme="majorHAnsi" w:cstheme="majorBidi"/>
          <w:bCs/>
          <w:color w:val="000000" w:themeColor="text1"/>
          <w:kern w:val="2"/>
          <w:sz w:val="32"/>
          <w14:textFill>
            <w14:solidFill>
              <w14:schemeClr w14:val="tx1"/>
            </w14:solidFill>
          </w14:textFill>
        </w:rPr>
        <w:t>。</w:t>
      </w:r>
      <w:r>
        <w:rPr>
          <w:rFonts w:hint="eastAsia" w:cs="仿宋_GB2312"/>
          <w:kern w:val="2"/>
          <w:sz w:val="32"/>
        </w:rPr>
        <w:t>行政审批局要切实担当起改革工作的主体责任，按照时序稳步推进各项改革任务。不断完善改革内容，确保改革举措落到实处。</w:t>
      </w:r>
    </w:p>
    <w:p>
      <w:pPr>
        <w:ind w:firstLine="640"/>
      </w:pPr>
      <w:r>
        <w:rPr>
          <w:rFonts w:ascii="楷体_GB2312" w:eastAsia="楷体_GB2312" w:hAnsiTheme="majorHAnsi" w:cstheme="majorBidi"/>
          <w:bCs/>
          <w:color w:val="000000" w:themeColor="text1"/>
          <w14:textFill>
            <w14:solidFill>
              <w14:schemeClr w14:val="tx1"/>
            </w14:solidFill>
          </w14:textFill>
        </w:rPr>
        <w:t>（三）</w:t>
      </w:r>
      <w:r>
        <w:rPr>
          <w:rFonts w:hint="eastAsia" w:ascii="楷体_GB2312" w:eastAsia="楷体_GB2312" w:hAnsiTheme="majorHAnsi" w:cstheme="majorBidi"/>
          <w:bCs/>
          <w:color w:val="000000" w:themeColor="text1"/>
          <w14:textFill>
            <w14:solidFill>
              <w14:schemeClr w14:val="tx1"/>
            </w14:solidFill>
          </w14:textFill>
        </w:rPr>
        <w:t>做好沟通协调</w:t>
      </w:r>
      <w:r>
        <w:rPr>
          <w:rFonts w:ascii="楷体_GB2312" w:eastAsia="楷体_GB2312" w:hAnsiTheme="majorHAnsi" w:cstheme="majorBidi"/>
          <w:bCs/>
          <w:color w:val="000000" w:themeColor="text1"/>
          <w14:textFill>
            <w14:solidFill>
              <w14:schemeClr w14:val="tx1"/>
            </w14:solidFill>
          </w14:textFill>
        </w:rPr>
        <w:t>，</w:t>
      </w:r>
      <w:r>
        <w:rPr>
          <w:rFonts w:hint="eastAsia" w:ascii="楷体_GB2312" w:eastAsia="楷体_GB2312" w:hAnsiTheme="majorHAnsi" w:cstheme="majorBidi"/>
          <w:bCs/>
          <w:color w:val="000000" w:themeColor="text1"/>
          <w14:textFill>
            <w14:solidFill>
              <w14:schemeClr w14:val="tx1"/>
            </w14:solidFill>
          </w14:textFill>
        </w:rPr>
        <w:t>及时总结评估</w:t>
      </w:r>
      <w:r>
        <w:rPr>
          <w:rFonts w:ascii="楷体_GB2312" w:eastAsia="楷体_GB2312" w:hAnsiTheme="majorHAnsi" w:cstheme="majorBidi"/>
          <w:bCs/>
          <w:color w:val="000000" w:themeColor="text1"/>
          <w14:textFill>
            <w14:solidFill>
              <w14:schemeClr w14:val="tx1"/>
            </w14:solidFill>
          </w14:textFill>
        </w:rPr>
        <w:t>。</w:t>
      </w:r>
      <w:r>
        <w:rPr>
          <w:rFonts w:hint="eastAsia"/>
        </w:rPr>
        <w:t>在</w:t>
      </w:r>
      <w:r>
        <w:rPr>
          <w:rFonts w:hint="eastAsia"/>
          <w:lang w:val="en-US" w:eastAsia="zh-CN"/>
        </w:rPr>
        <w:t>改革</w:t>
      </w:r>
      <w:r>
        <w:t>过程中</w:t>
      </w:r>
      <w:r>
        <w:rPr>
          <w:rFonts w:hint="eastAsia"/>
        </w:rPr>
        <w:t>做好沟通协调</w:t>
      </w:r>
      <w:r>
        <w:t>，</w:t>
      </w:r>
      <w:r>
        <w:rPr>
          <w:rFonts w:hint="eastAsia"/>
        </w:rPr>
        <w:t>根据</w:t>
      </w:r>
      <w:r>
        <w:rPr>
          <w:rFonts w:hint="eastAsia"/>
          <w:lang w:val="en-US" w:eastAsia="zh-CN"/>
        </w:rPr>
        <w:t>推进</w:t>
      </w:r>
      <w:r>
        <w:t>情况及时总结</w:t>
      </w:r>
      <w:r>
        <w:rPr>
          <w:rFonts w:hint="eastAsia"/>
          <w:lang w:eastAsia="zh-CN"/>
        </w:rPr>
        <w:t>。</w:t>
      </w:r>
      <w:r>
        <w:rPr>
          <w:rFonts w:hint="eastAsia"/>
        </w:rPr>
        <w:t>有关部门对相关人员要</w:t>
      </w:r>
      <w:r>
        <w:t>加强</w:t>
      </w:r>
      <w:r>
        <w:rPr>
          <w:rFonts w:hint="eastAsia"/>
        </w:rPr>
        <w:t>培训</w:t>
      </w:r>
      <w:r>
        <w:t>、</w:t>
      </w:r>
      <w:r>
        <w:rPr>
          <w:rFonts w:hint="eastAsia"/>
        </w:rPr>
        <w:t>及时做好工作总结，评估实施效果</w:t>
      </w:r>
      <w:r>
        <w:t>。</w:t>
      </w:r>
    </w:p>
    <w:p>
      <w:pPr>
        <w:ind w:firstLine="640"/>
      </w:pPr>
    </w:p>
    <w:p>
      <w:pPr>
        <w:tabs>
          <w:tab w:val="left" w:pos="790"/>
          <w:tab w:val="left" w:pos="1264"/>
        </w:tabs>
        <w:overflowPunct w:val="0"/>
        <w:adjustRightInd w:val="0"/>
        <w:snapToGrid w:val="0"/>
        <w:ind w:left="2070" w:hanging="1446" w:firstLineChars="0"/>
        <w:rPr>
          <w:rFonts w:hAnsi="宋体" w:cs="Times New Roman"/>
          <w:szCs w:val="30"/>
        </w:rPr>
      </w:pPr>
      <w:r>
        <w:rPr>
          <w:rFonts w:hint="eastAsia" w:hAnsi="宋体" w:cs="Times New Roman"/>
          <w:szCs w:val="30"/>
        </w:rPr>
        <w:t>附件：1.食品连锁经营企业“一证多址”一次性告知单</w:t>
      </w:r>
    </w:p>
    <w:p>
      <w:pPr>
        <w:tabs>
          <w:tab w:val="left" w:pos="790"/>
          <w:tab w:val="left" w:pos="1264"/>
        </w:tabs>
        <w:overflowPunct w:val="0"/>
        <w:adjustRightInd w:val="0"/>
        <w:snapToGrid w:val="0"/>
        <w:ind w:left="2061" w:leftChars="494" w:hanging="480" w:hangingChars="150"/>
        <w:rPr>
          <w:rFonts w:hAnsi="宋体" w:cs="Times New Roman"/>
          <w:szCs w:val="30"/>
        </w:rPr>
      </w:pPr>
      <w:r>
        <w:rPr>
          <w:rFonts w:hint="eastAsia" w:hAnsi="宋体" w:cs="Times New Roman"/>
          <w:szCs w:val="30"/>
        </w:rPr>
        <w:t>2.食品连锁经营企业“一证多址”申请书</w:t>
      </w:r>
    </w:p>
    <w:p>
      <w:pPr>
        <w:tabs>
          <w:tab w:val="left" w:pos="790"/>
          <w:tab w:val="left" w:pos="1264"/>
        </w:tabs>
        <w:overflowPunct w:val="0"/>
        <w:adjustRightInd w:val="0"/>
        <w:snapToGrid w:val="0"/>
        <w:ind w:firstLine="1600" w:firstLineChars="500"/>
        <w:rPr>
          <w:rFonts w:hAnsi="宋体" w:cs="Times New Roman"/>
          <w:szCs w:val="30"/>
        </w:rPr>
      </w:pPr>
      <w:r>
        <w:rPr>
          <w:rFonts w:hint="eastAsia" w:hAnsi="宋体" w:cs="Times New Roman"/>
          <w:szCs w:val="30"/>
        </w:rPr>
        <w:t>3.统一采购配送食品、规范经营管理基本情况</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4.食品连锁经营企业食品安全管理制度（目录）</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5.食品连锁经营企业“一证多址”资格审查表</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6.《综合许可资格证》示意图</w:t>
      </w:r>
    </w:p>
    <w:p>
      <w:pPr>
        <w:ind w:firstLine="640"/>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992" w:gutter="0"/>
          <w:cols w:space="425" w:num="1"/>
          <w:docGrid w:type="lines" w:linePitch="435" w:charSpace="0"/>
        </w:sectPr>
      </w:pPr>
    </w:p>
    <w:p>
      <w:pPr>
        <w:ind w:firstLine="0" w:firstLineChars="0"/>
        <w:rPr>
          <w:rFonts w:hAnsi="宋体"/>
          <w:szCs w:val="30"/>
        </w:rPr>
      </w:pPr>
      <w:r>
        <w:rPr>
          <w:rFonts w:hint="eastAsia" w:hAnsi="宋体"/>
          <w:szCs w:val="30"/>
        </w:rPr>
        <w:t>附件1</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食品连锁经营企业“一证多址”一次性告知单</w:t>
      </w:r>
    </w:p>
    <w:p>
      <w:pPr>
        <w:adjustRightInd w:val="0"/>
        <w:snapToGrid w:val="0"/>
        <w:ind w:firstLine="640"/>
      </w:pPr>
    </w:p>
    <w:p>
      <w:pPr>
        <w:adjustRightInd w:val="0"/>
        <w:snapToGrid w:val="0"/>
        <w:ind w:firstLine="640"/>
        <w:rPr>
          <w:rFonts w:ascii="黑体" w:hAnsi="黑体" w:eastAsia="黑体"/>
        </w:rPr>
      </w:pPr>
      <w:r>
        <w:rPr>
          <w:rFonts w:hint="eastAsia" w:ascii="黑体" w:hAnsi="黑体" w:eastAsia="黑体"/>
        </w:rPr>
        <w:t>一、审批依据</w:t>
      </w:r>
    </w:p>
    <w:p>
      <w:pPr>
        <w:tabs>
          <w:tab w:val="left" w:pos="1134"/>
        </w:tabs>
        <w:adjustRightInd w:val="0"/>
        <w:snapToGrid w:val="0"/>
        <w:ind w:firstLine="640"/>
      </w:pPr>
      <w:r>
        <w:rPr>
          <w:rFonts w:hint="eastAsia"/>
        </w:rPr>
        <w:t>1.《中华人民共和国食品安全法》</w:t>
      </w:r>
    </w:p>
    <w:p>
      <w:pPr>
        <w:adjustRightInd w:val="0"/>
        <w:snapToGrid w:val="0"/>
        <w:ind w:firstLine="640"/>
      </w:pPr>
      <w:r>
        <w:rPr>
          <w:rFonts w:hint="eastAsia"/>
        </w:rPr>
        <w:t>2.《食品经营许可管理办法》</w:t>
      </w:r>
    </w:p>
    <w:p>
      <w:pPr>
        <w:adjustRightInd w:val="0"/>
        <w:snapToGrid w:val="0"/>
        <w:ind w:firstLine="640"/>
      </w:pPr>
      <w:r>
        <w:rPr>
          <w:rFonts w:hint="eastAsia"/>
        </w:rPr>
        <w:t>3.《北京市食品经营许可管理办法（试行）》</w:t>
      </w:r>
    </w:p>
    <w:p>
      <w:pPr>
        <w:adjustRightInd w:val="0"/>
        <w:snapToGrid w:val="0"/>
        <w:ind w:firstLine="640"/>
      </w:pPr>
      <w:r>
        <w:rPr>
          <w:rFonts w:hint="eastAsia"/>
        </w:rPr>
        <w:t>4.《北京市食品经营许可审查细则（试行）》</w:t>
      </w:r>
    </w:p>
    <w:p>
      <w:pPr>
        <w:adjustRightInd w:val="0"/>
        <w:snapToGrid w:val="0"/>
        <w:ind w:firstLine="640"/>
        <w:rPr>
          <w:rFonts w:ascii="黑体" w:hAnsi="黑体" w:eastAsia="黑体"/>
        </w:rPr>
      </w:pPr>
      <w:r>
        <w:rPr>
          <w:rFonts w:hint="eastAsia" w:ascii="黑体" w:hAnsi="黑体" w:eastAsia="黑体"/>
        </w:rPr>
        <w:t>二、法定条件</w:t>
      </w:r>
    </w:p>
    <w:p>
      <w:pPr>
        <w:adjustRightInd w:val="0"/>
        <w:snapToGrid w:val="0"/>
        <w:ind w:firstLine="640"/>
      </w:pPr>
      <w:r>
        <w:rPr>
          <w:rFonts w:hint="eastAsia"/>
        </w:rPr>
        <w:t>申请食品经营许可，应当符合下列条件：</w:t>
      </w:r>
    </w:p>
    <w:p>
      <w:pPr>
        <w:tabs>
          <w:tab w:val="left" w:pos="1134"/>
        </w:tabs>
        <w:adjustRightInd w:val="0"/>
        <w:snapToGrid w:val="0"/>
        <w:ind w:firstLine="640"/>
      </w:pPr>
      <w:r>
        <w:rPr>
          <w:rFonts w:hint="eastAsia"/>
        </w:rPr>
        <w:t>1.</w:t>
      </w:r>
      <w:r>
        <w:rPr>
          <w:rFonts w:hint="eastAsia"/>
          <w:spacing w:val="-4"/>
        </w:rPr>
        <w:t>具有与经营的食品品种、数量相适应的食品原料处理和食</w:t>
      </w:r>
      <w:r>
        <w:rPr>
          <w:rFonts w:hint="eastAsia"/>
        </w:rPr>
        <w:t>品加工、销售、贮存等场所，保持该场所环境整洁，并与有毒、有害场所以及其他污染源保持规定的距离；</w:t>
      </w:r>
    </w:p>
    <w:p>
      <w:pPr>
        <w:adjustRightInd w:val="0"/>
        <w:snapToGrid w:val="0"/>
        <w:ind w:firstLine="640"/>
      </w:pPr>
      <w:r>
        <w:rPr>
          <w:rFonts w:hint="eastAsia"/>
        </w:rPr>
        <w:t>2.</w:t>
      </w:r>
      <w:r>
        <w:rPr>
          <w:rFonts w:hint="eastAsia"/>
          <w:spacing w:val="2"/>
        </w:rPr>
        <w:t>具有与经营的食品品种、数量相适应的经营设备或者设</w:t>
      </w:r>
      <w:r>
        <w:rPr>
          <w:rFonts w:hint="eastAsia"/>
        </w:rPr>
        <w:t>施，有相应的消毒、更衣、盥洗、采光、照明、通风、防腐、防尘、防蝇、防鼠、防虫、洗涤以及处理废水、存放垃圾和废弃物的设备或者设施；</w:t>
      </w:r>
    </w:p>
    <w:p>
      <w:pPr>
        <w:adjustRightInd w:val="0"/>
        <w:snapToGrid w:val="0"/>
        <w:ind w:firstLine="640"/>
      </w:pPr>
      <w:r>
        <w:rPr>
          <w:rFonts w:hint="eastAsia"/>
        </w:rPr>
        <w:t>3.</w:t>
      </w:r>
      <w:r>
        <w:rPr>
          <w:rFonts w:hint="eastAsia"/>
          <w:spacing w:val="2"/>
        </w:rPr>
        <w:t>有专职或者兼职的食品安全管理人员和保证食品安全的</w:t>
      </w:r>
      <w:r>
        <w:rPr>
          <w:rFonts w:hint="eastAsia"/>
        </w:rPr>
        <w:t>规章制度；</w:t>
      </w:r>
    </w:p>
    <w:p>
      <w:pPr>
        <w:adjustRightInd w:val="0"/>
        <w:snapToGrid w:val="0"/>
        <w:ind w:firstLine="640"/>
        <w:rPr>
          <w:spacing w:val="-4"/>
        </w:rPr>
      </w:pPr>
      <w:r>
        <w:rPr>
          <w:rFonts w:hint="eastAsia"/>
        </w:rPr>
        <w:t>4.</w:t>
      </w:r>
      <w:r>
        <w:rPr>
          <w:rFonts w:hint="eastAsia"/>
          <w:spacing w:val="-4"/>
        </w:rPr>
        <w:t>具有合理的设备布局和工艺流程，防止待加工食品与直接入口食品、原料与成品交叉污染，避免食品接触有毒物、不洁物；</w:t>
      </w:r>
    </w:p>
    <w:p>
      <w:pPr>
        <w:adjustRightInd w:val="0"/>
        <w:snapToGrid w:val="0"/>
        <w:ind w:firstLine="640"/>
      </w:pPr>
      <w:r>
        <w:rPr>
          <w:rFonts w:hint="eastAsia"/>
        </w:rPr>
        <w:t>5.各连锁门店的经营形式、经营项目以及布局流程基本一致，食品及原料统一采购配送、统一管理；</w:t>
      </w:r>
    </w:p>
    <w:p>
      <w:pPr>
        <w:adjustRightInd w:val="0"/>
        <w:snapToGrid w:val="0"/>
        <w:ind w:firstLine="640"/>
      </w:pPr>
      <w:r>
        <w:rPr>
          <w:rFonts w:hint="eastAsia"/>
        </w:rPr>
        <w:t>6.遵守经开区工业用地管理要求，不得改变工业用地性质，违规在工业用地上新办食品经营和餐饮服务企业。</w:t>
      </w:r>
    </w:p>
    <w:p>
      <w:pPr>
        <w:adjustRightInd w:val="0"/>
        <w:snapToGrid w:val="0"/>
        <w:ind w:firstLine="640"/>
      </w:pPr>
      <w:r>
        <w:rPr>
          <w:rFonts w:hint="eastAsia"/>
        </w:rPr>
        <w:t>7.法律、法规规定的其他条件。</w:t>
      </w:r>
    </w:p>
    <w:p>
      <w:pPr>
        <w:adjustRightInd w:val="0"/>
        <w:snapToGrid w:val="0"/>
        <w:ind w:firstLine="640"/>
        <w:rPr>
          <w:rFonts w:ascii="黑体" w:hAnsi="黑体" w:eastAsia="黑体"/>
        </w:rPr>
      </w:pPr>
      <w:r>
        <w:rPr>
          <w:rFonts w:hint="eastAsia" w:ascii="黑体" w:hAnsi="黑体" w:eastAsia="黑体"/>
        </w:rPr>
        <w:t>三、申请资格审查应当提交的材料</w:t>
      </w:r>
    </w:p>
    <w:p>
      <w:pPr>
        <w:adjustRightInd w:val="0"/>
        <w:snapToGrid w:val="0"/>
        <w:ind w:firstLine="640"/>
      </w:pPr>
      <w:r>
        <w:rPr>
          <w:rFonts w:hint="eastAsia"/>
        </w:rPr>
        <w:t>1.《食品连锁经营企业“一证多址”申请书》；</w:t>
      </w:r>
    </w:p>
    <w:p>
      <w:pPr>
        <w:adjustRightInd w:val="0"/>
        <w:snapToGrid w:val="0"/>
        <w:ind w:firstLine="640"/>
      </w:pPr>
      <w:r>
        <w:rPr>
          <w:rFonts w:hint="eastAsia"/>
        </w:rPr>
        <w:t>2.统一采购配送食品、规范经营管理基本情况；</w:t>
      </w:r>
    </w:p>
    <w:p>
      <w:pPr>
        <w:adjustRightInd w:val="0"/>
        <w:snapToGrid w:val="0"/>
        <w:ind w:firstLine="640"/>
      </w:pPr>
      <w:r>
        <w:rPr>
          <w:rFonts w:hint="eastAsia"/>
        </w:rPr>
        <w:t>3.食品连锁经营企业食品安全管理制度；</w:t>
      </w:r>
    </w:p>
    <w:p>
      <w:pPr>
        <w:adjustRightInd w:val="0"/>
        <w:snapToGrid w:val="0"/>
        <w:ind w:firstLine="640"/>
      </w:pPr>
      <w:r>
        <w:rPr>
          <w:rFonts w:hint="eastAsia"/>
        </w:rPr>
        <w:t>4.标准化流程布局和设施设备示意图；</w:t>
      </w:r>
    </w:p>
    <w:p>
      <w:pPr>
        <w:adjustRightInd w:val="0"/>
        <w:snapToGrid w:val="0"/>
        <w:ind w:firstLine="640"/>
      </w:pPr>
      <w:r>
        <w:rPr>
          <w:rFonts w:hint="eastAsia"/>
        </w:rPr>
        <w:t>5.申请人委托他人代办的，代理人应当提交授权委托书以及代理人的身份证明文件。</w:t>
      </w:r>
    </w:p>
    <w:p>
      <w:pPr>
        <w:ind w:firstLine="640"/>
        <w:rPr>
          <w:rFonts w:hint="eastAsia" w:hAnsi="宋体" w:cs="Times New Roman"/>
          <w:szCs w:val="30"/>
        </w:rPr>
      </w:pPr>
      <w:r>
        <w:rPr>
          <w:rFonts w:hint="eastAsia" w:hAnsi="宋体"/>
          <w:szCs w:val="30"/>
        </w:rPr>
        <w:t>申请人可结合《</w:t>
      </w:r>
      <w:r>
        <w:rPr>
          <w:rFonts w:hint="eastAsia" w:hAnsi="宋体" w:cs="Times New Roman"/>
          <w:szCs w:val="30"/>
        </w:rPr>
        <w:t>食品连锁经营企业“一证多址”资格审查表</w:t>
      </w:r>
      <w:r>
        <w:rPr>
          <w:rFonts w:hint="eastAsia" w:hAnsi="宋体"/>
          <w:szCs w:val="30"/>
        </w:rPr>
        <w:t>》提前</w:t>
      </w:r>
      <w:r>
        <w:rPr>
          <w:rFonts w:hint="eastAsia" w:hAnsi="宋体"/>
          <w:color w:val="auto"/>
          <w:szCs w:val="30"/>
        </w:rPr>
        <w:t>进行自查。</w:t>
      </w:r>
      <w:r>
        <w:rPr>
          <w:rFonts w:hint="eastAsia" w:hAnsi="宋体" w:cs="Times New Roman"/>
          <w:szCs w:val="30"/>
          <w:lang w:eastAsia="zh-CN"/>
        </w:rPr>
        <w:t>申请人</w:t>
      </w:r>
      <w:r>
        <w:rPr>
          <w:rFonts w:hint="eastAsia" w:hAnsi="宋体" w:cs="Times New Roman"/>
          <w:szCs w:val="30"/>
        </w:rPr>
        <w:t>工艺流程布局</w:t>
      </w:r>
      <w:r>
        <w:rPr>
          <w:rFonts w:hint="eastAsia" w:hAnsi="宋体" w:cs="Times New Roman"/>
          <w:szCs w:val="30"/>
          <w:lang w:eastAsia="zh-CN"/>
        </w:rPr>
        <w:t>等实质内容发生改变，可能影响“一证多址”改革实施的</w:t>
      </w:r>
      <w:r>
        <w:rPr>
          <w:rFonts w:hint="eastAsia" w:hAnsi="宋体" w:cs="Times New Roman"/>
          <w:b w:val="0"/>
          <w:bCs w:val="0"/>
          <w:szCs w:val="30"/>
          <w:lang w:eastAsia="zh-CN"/>
        </w:rPr>
        <w:t>，应当及时告知审批部门，并按要求办理。</w:t>
      </w:r>
    </w:p>
    <w:p>
      <w:pPr>
        <w:pStyle w:val="3"/>
        <w:numPr>
          <w:ilvl w:val="0"/>
          <w:numId w:val="0"/>
        </w:numPr>
        <w:ind w:firstLine="640"/>
        <w:rPr>
          <w:rFonts w:hint="eastAsia"/>
        </w:rPr>
      </w:pPr>
      <w:r>
        <w:rPr>
          <w:rFonts w:hint="eastAsia" w:ascii="Calibri" w:hAnsi="Calibri" w:eastAsia="黑体" w:cstheme="minorBidi"/>
          <w:color w:val="000000" w:themeColor="text1"/>
          <w:kern w:val="44"/>
          <w:sz w:val="32"/>
          <w:szCs w:val="32"/>
          <w:lang w:val="en-US" w:eastAsia="zh-CN" w:bidi="ar-SA"/>
          <w14:textFill>
            <w14:solidFill>
              <w14:schemeClr w14:val="tx1"/>
            </w14:solidFill>
          </w14:textFill>
        </w:rPr>
        <w:t>四、</w:t>
      </w:r>
      <w:r>
        <w:rPr>
          <w:rFonts w:hint="eastAsia"/>
        </w:rPr>
        <w:t>“一证多址”方式</w:t>
      </w:r>
      <w:r>
        <w:rPr>
          <w:rFonts w:hint="eastAsia"/>
          <w:lang w:val="en-US" w:eastAsia="zh-CN"/>
        </w:rPr>
        <w:t>新</w:t>
      </w:r>
      <w:r>
        <w:rPr>
          <w:rFonts w:hint="eastAsia"/>
        </w:rPr>
        <w:t>办</w:t>
      </w:r>
      <w:r>
        <w:rPr>
          <w:rFonts w:hint="eastAsia"/>
          <w:lang w:eastAsia="zh-CN"/>
        </w:rPr>
        <w:t>、</w:t>
      </w:r>
      <w:r>
        <w:rPr>
          <w:rFonts w:hint="eastAsia"/>
          <w:lang w:val="en-US" w:eastAsia="zh-CN"/>
        </w:rPr>
        <w:t>变更（经营范围）或延续</w:t>
      </w:r>
      <w:r>
        <w:rPr>
          <w:rFonts w:hint="eastAsia"/>
        </w:rPr>
        <w:t>直营门店应当提交的材料</w:t>
      </w:r>
    </w:p>
    <w:p>
      <w:pPr>
        <w:adjustRightInd w:val="0"/>
        <w:snapToGrid w:val="0"/>
        <w:ind w:firstLine="64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(一）新办</w:t>
      </w:r>
    </w:p>
    <w:p>
      <w:pPr>
        <w:adjustRightInd w:val="0"/>
        <w:snapToGrid w:val="0"/>
        <w:ind w:firstLine="640"/>
        <w:rPr>
          <w:rFonts w:hint="eastAsia"/>
        </w:rPr>
      </w:pPr>
      <w:r>
        <w:rPr>
          <w:rFonts w:hint="eastAsia"/>
        </w:rPr>
        <w:t>1.食品经营许可</w:t>
      </w:r>
      <w:r>
        <w:rPr>
          <w:rFonts w:hint="eastAsia"/>
          <w:lang w:val="en-US" w:eastAsia="zh-CN"/>
        </w:rPr>
        <w:t>新办</w:t>
      </w:r>
      <w:r>
        <w:rPr>
          <w:rFonts w:hint="eastAsia"/>
        </w:rPr>
        <w:t>申请</w:t>
      </w:r>
      <w:r>
        <w:rPr>
          <w:rFonts w:hint="eastAsia"/>
          <w:lang w:val="en-US" w:eastAsia="zh-CN"/>
        </w:rPr>
        <w:t>表</w:t>
      </w:r>
      <w:r>
        <w:rPr>
          <w:rFonts w:hint="eastAsia"/>
        </w:rPr>
        <w:t>；</w:t>
      </w:r>
    </w:p>
    <w:p>
      <w:pPr>
        <w:adjustRightInd w:val="0"/>
        <w:snapToGrid w:val="0"/>
        <w:ind w:firstLine="640"/>
        <w:rPr>
          <w:rFonts w:hint="eastAsia"/>
          <w:lang w:val="en-US" w:eastAsia="zh-CN"/>
        </w:rPr>
      </w:pPr>
      <w:r>
        <w:rPr>
          <w:rFonts w:hint="eastAsia"/>
          <w:lang w:val="en-US" w:eastAsia="zh-CN"/>
        </w:rPr>
        <w:t>2</w:t>
      </w:r>
      <w:r>
        <w:rPr>
          <w:rFonts w:hint="eastAsia"/>
        </w:rPr>
        <w:t>.</w:t>
      </w:r>
      <w:r>
        <w:rPr>
          <w:rFonts w:hint="eastAsia"/>
          <w:lang w:val="en-US" w:eastAsia="zh-CN"/>
        </w:rPr>
        <w:t>方位图、平面布局图、操作流程；</w:t>
      </w:r>
    </w:p>
    <w:p>
      <w:pPr>
        <w:numPr>
          <w:ilvl w:val="-1"/>
          <w:numId w:val="0"/>
        </w:numPr>
        <w:ind w:firstLine="640"/>
        <w:rPr>
          <w:rFonts w:hint="eastAsia"/>
          <w:lang w:eastAsia="zh-CN"/>
        </w:rPr>
      </w:pPr>
      <w:r>
        <w:rPr>
          <w:rFonts w:hint="eastAsia"/>
          <w:lang w:val="en-US" w:eastAsia="zh-CN"/>
        </w:rPr>
        <w:t>3.</w:t>
      </w:r>
      <w:r>
        <w:rPr>
          <w:rFonts w:hint="eastAsia"/>
        </w:rPr>
        <w:t>申请人委托他人代办的，代理人应当提交授权委托书以及代理人的身份证明文件</w:t>
      </w:r>
      <w:r>
        <w:rPr>
          <w:rFonts w:hint="eastAsia"/>
          <w:lang w:eastAsia="zh-CN"/>
        </w:rPr>
        <w:t>。</w:t>
      </w:r>
    </w:p>
    <w:p>
      <w:pPr>
        <w:adjustRightInd w:val="0"/>
        <w:snapToGrid w:val="0"/>
        <w:ind w:firstLine="640"/>
        <w:rPr>
          <w:rFonts w:hint="eastAsia" w:ascii="楷体_GB2312" w:hAnsi="楷体_GB2312" w:eastAsia="楷体_GB2312" w:cs="楷体_GB2312"/>
          <w:lang w:eastAsia="zh-CN"/>
        </w:rPr>
      </w:pPr>
      <w:r>
        <w:rPr>
          <w:rFonts w:hint="eastAsia" w:ascii="楷体_GB2312" w:hAnsi="楷体_GB2312" w:eastAsia="楷体_GB2312" w:cs="楷体_GB2312"/>
          <w:lang w:eastAsia="zh-CN"/>
        </w:rPr>
        <w:t>（</w:t>
      </w:r>
      <w:r>
        <w:rPr>
          <w:rFonts w:hint="eastAsia" w:ascii="楷体_GB2312" w:hAnsi="楷体_GB2312" w:eastAsia="楷体_GB2312" w:cs="楷体_GB2312"/>
          <w:lang w:val="en-US" w:eastAsia="zh-CN"/>
        </w:rPr>
        <w:t>二</w:t>
      </w:r>
      <w:r>
        <w:rPr>
          <w:rFonts w:hint="eastAsia" w:ascii="楷体_GB2312" w:hAnsi="楷体_GB2312" w:eastAsia="楷体_GB2312" w:cs="楷体_GB2312"/>
          <w:lang w:eastAsia="zh-CN"/>
        </w:rPr>
        <w:t>）</w:t>
      </w:r>
      <w:r>
        <w:rPr>
          <w:rFonts w:hint="eastAsia" w:ascii="楷体_GB2312" w:hAnsi="楷体_GB2312" w:eastAsia="楷体_GB2312" w:cs="楷体_GB2312"/>
          <w:lang w:val="en-US" w:eastAsia="zh-CN"/>
        </w:rPr>
        <w:t>变更（经营范围）</w:t>
      </w:r>
    </w:p>
    <w:p>
      <w:pPr>
        <w:numPr>
          <w:ilvl w:val="-1"/>
          <w:numId w:val="0"/>
        </w:numPr>
        <w:ind w:firstLine="640"/>
        <w:rPr>
          <w:rFonts w:hint="eastAsia"/>
        </w:rPr>
      </w:pPr>
      <w:r>
        <w:rPr>
          <w:rFonts w:hint="eastAsia"/>
          <w:lang w:val="en-US" w:eastAsia="zh-CN"/>
        </w:rPr>
        <w:t>1.</w:t>
      </w:r>
      <w:r>
        <w:rPr>
          <w:rFonts w:hint="eastAsia"/>
        </w:rPr>
        <w:t>食品经营许可</w:t>
      </w:r>
      <w:r>
        <w:rPr>
          <w:rFonts w:hint="eastAsia"/>
          <w:lang w:val="en-US" w:eastAsia="zh-CN"/>
        </w:rPr>
        <w:t>变更</w:t>
      </w:r>
      <w:r>
        <w:rPr>
          <w:rFonts w:hint="eastAsia"/>
        </w:rPr>
        <w:t>申请</w:t>
      </w:r>
      <w:r>
        <w:rPr>
          <w:rFonts w:hint="eastAsia"/>
          <w:lang w:val="en-US" w:eastAsia="zh-CN"/>
        </w:rPr>
        <w:t>表</w:t>
      </w:r>
      <w:r>
        <w:rPr>
          <w:rFonts w:hint="eastAsia"/>
        </w:rPr>
        <w:t>；</w:t>
      </w:r>
    </w:p>
    <w:p>
      <w:pPr>
        <w:numPr>
          <w:ilvl w:val="0"/>
          <w:numId w:val="0"/>
        </w:numPr>
        <w:ind w:firstLine="640"/>
        <w:rPr>
          <w:rFonts w:hint="default"/>
        </w:rPr>
      </w:pPr>
      <w:r>
        <w:rPr>
          <w:rFonts w:hint="eastAsia"/>
          <w:lang w:val="en-US" w:eastAsia="zh-CN"/>
        </w:rPr>
        <w:t>2.食品经营许可证；</w:t>
      </w:r>
    </w:p>
    <w:p>
      <w:pPr>
        <w:numPr>
          <w:ilvl w:val="0"/>
          <w:numId w:val="0"/>
        </w:numPr>
        <w:ind w:firstLine="640"/>
        <w:rPr>
          <w:rFonts w:hint="eastAsia"/>
          <w:lang w:val="en-US" w:eastAsia="zh-CN"/>
        </w:rPr>
      </w:pPr>
      <w:r>
        <w:rPr>
          <w:rFonts w:hint="eastAsia"/>
          <w:lang w:val="en-US" w:eastAsia="zh-CN"/>
        </w:rPr>
        <w:t>3.与食品经营相适应的经营平面布局流程图；</w:t>
      </w:r>
    </w:p>
    <w:p>
      <w:pPr>
        <w:numPr>
          <w:ilvl w:val="-1"/>
          <w:numId w:val="0"/>
        </w:numPr>
        <w:ind w:firstLine="640"/>
        <w:rPr>
          <w:rFonts w:hint="eastAsia"/>
          <w:lang w:val="en-US" w:eastAsia="zh-CN"/>
        </w:rPr>
      </w:pPr>
      <w:r>
        <w:rPr>
          <w:rFonts w:hint="eastAsia"/>
          <w:lang w:val="en-US" w:eastAsia="zh-CN"/>
        </w:rPr>
        <w:t>4.</w:t>
      </w:r>
      <w:r>
        <w:rPr>
          <w:rFonts w:hint="eastAsia"/>
        </w:rPr>
        <w:t>申请人委托他人代办的，代理人应当提交授权委托书以及代理人的身份证明文件</w:t>
      </w:r>
      <w:r>
        <w:rPr>
          <w:rFonts w:hint="eastAsia"/>
          <w:lang w:eastAsia="zh-CN"/>
        </w:rPr>
        <w:t>。</w:t>
      </w:r>
    </w:p>
    <w:p>
      <w:pPr>
        <w:adjustRightInd w:val="0"/>
        <w:snapToGrid w:val="0"/>
        <w:ind w:firstLine="640"/>
        <w:rPr>
          <w:rFonts w:hint="eastAsia" w:ascii="楷体_GB2312" w:hAnsi="楷体_GB2312" w:eastAsia="楷体_GB2312" w:cs="楷体_GB2312"/>
          <w:lang w:val="en-US" w:eastAsia="zh-CN"/>
        </w:rPr>
      </w:pPr>
      <w:r>
        <w:rPr>
          <w:rFonts w:hint="eastAsia" w:ascii="楷体_GB2312" w:hAnsi="楷体_GB2312" w:eastAsia="楷体_GB2312" w:cs="楷体_GB2312"/>
          <w:lang w:val="en-US" w:eastAsia="zh-CN"/>
        </w:rPr>
        <w:t>（三）延续</w:t>
      </w:r>
    </w:p>
    <w:p>
      <w:pPr>
        <w:numPr>
          <w:ilvl w:val="-1"/>
          <w:numId w:val="0"/>
        </w:numPr>
        <w:ind w:firstLine="640"/>
        <w:rPr>
          <w:rFonts w:hint="eastAsia"/>
        </w:rPr>
      </w:pPr>
      <w:r>
        <w:rPr>
          <w:rFonts w:hint="eastAsia"/>
          <w:lang w:val="en-US" w:eastAsia="zh-CN"/>
        </w:rPr>
        <w:t>1.</w:t>
      </w:r>
      <w:r>
        <w:rPr>
          <w:rFonts w:hint="eastAsia"/>
        </w:rPr>
        <w:t>食品经营许可</w:t>
      </w:r>
      <w:r>
        <w:rPr>
          <w:rFonts w:hint="eastAsia"/>
          <w:lang w:val="en-US" w:eastAsia="zh-CN"/>
        </w:rPr>
        <w:t>延续</w:t>
      </w:r>
      <w:r>
        <w:rPr>
          <w:rFonts w:hint="eastAsia"/>
        </w:rPr>
        <w:t>申请</w:t>
      </w:r>
      <w:r>
        <w:rPr>
          <w:rFonts w:hint="eastAsia"/>
          <w:lang w:val="en-US" w:eastAsia="zh-CN"/>
        </w:rPr>
        <w:t>表</w:t>
      </w:r>
      <w:r>
        <w:rPr>
          <w:rFonts w:hint="eastAsia"/>
        </w:rPr>
        <w:t>；</w:t>
      </w:r>
    </w:p>
    <w:p>
      <w:pPr>
        <w:numPr>
          <w:ilvl w:val="0"/>
          <w:numId w:val="0"/>
        </w:numPr>
        <w:ind w:firstLine="640"/>
        <w:rPr>
          <w:rFonts w:hint="default"/>
        </w:rPr>
      </w:pPr>
      <w:r>
        <w:rPr>
          <w:rFonts w:hint="eastAsia"/>
          <w:lang w:val="en-US" w:eastAsia="zh-CN"/>
        </w:rPr>
        <w:t>2.食品经营许可证；</w:t>
      </w:r>
    </w:p>
    <w:p>
      <w:pPr>
        <w:numPr>
          <w:ilvl w:val="0"/>
          <w:numId w:val="0"/>
        </w:numPr>
        <w:ind w:firstLine="640"/>
        <w:rPr>
          <w:rFonts w:hint="eastAsia"/>
          <w:lang w:val="en-US" w:eastAsia="zh-CN"/>
        </w:rPr>
      </w:pPr>
      <w:r>
        <w:rPr>
          <w:rFonts w:hint="eastAsia"/>
          <w:lang w:val="en-US" w:eastAsia="zh-CN"/>
        </w:rPr>
        <w:t>3.经营条件是否发生变化的声明；</w:t>
      </w:r>
    </w:p>
    <w:p>
      <w:pPr>
        <w:numPr>
          <w:ilvl w:val="0"/>
          <w:numId w:val="0"/>
        </w:numPr>
        <w:ind w:firstLine="640"/>
        <w:rPr>
          <w:rFonts w:hint="eastAsia" w:eastAsia="仿宋_GB2312"/>
          <w:lang w:val="en-US" w:eastAsia="zh-CN"/>
        </w:rPr>
      </w:pPr>
      <w:r>
        <w:rPr>
          <w:rFonts w:hint="eastAsia"/>
          <w:lang w:val="en-US" w:eastAsia="zh-CN"/>
        </w:rPr>
        <w:t>4</w:t>
      </w:r>
      <w:r>
        <w:rPr>
          <w:rFonts w:hint="eastAsia" w:eastAsia="仿宋_GB2312"/>
          <w:lang w:val="en-US" w:eastAsia="zh-CN"/>
        </w:rPr>
        <w:t>.申请人委托他人代办的，代理人应当提交授权委托书以及代理人的身份证明文件。</w:t>
      </w:r>
    </w:p>
    <w:p>
      <w:pPr>
        <w:pStyle w:val="3"/>
        <w:spacing w:line="520" w:lineRule="exact"/>
        <w:ind w:firstLine="640" w:firstLineChars="200"/>
        <w:rPr>
          <w:rFonts w:hint="eastAsia" w:ascii="仿宋_GB2312" w:hAnsi="仿宋_GB2312" w:eastAsia="仿宋_GB2312" w:cs="仿宋_GB2312"/>
          <w:lang w:val="en-US" w:eastAsia="zh-CN"/>
        </w:rPr>
      </w:pPr>
      <w:r>
        <w:rPr>
          <w:rFonts w:hint="eastAsia" w:ascii="仿宋_GB2312" w:hAnsi="仿宋_GB2312" w:eastAsia="仿宋_GB2312" w:cs="仿宋_GB2312"/>
          <w:color w:val="000000" w:themeColor="text1"/>
          <w:kern w:val="44"/>
          <w:lang w:val="en-US" w:eastAsia="zh-CN"/>
          <w14:textFill>
            <w14:solidFill>
              <w14:schemeClr w14:val="tx1"/>
            </w14:solidFill>
          </w14:textFill>
        </w:rPr>
        <w:t>其中，</w:t>
      </w:r>
      <w:r>
        <w:rPr>
          <w:rFonts w:hint="eastAsia" w:ascii="仿宋_GB2312" w:hAnsi="仿宋_GB2312" w:eastAsia="仿宋_GB2312" w:cs="仿宋_GB2312"/>
          <w:lang w:val="en-US" w:eastAsia="zh-CN"/>
        </w:rPr>
        <w:t>食品经营许可证关联电子证照的，可免于提交</w:t>
      </w:r>
      <w:r>
        <w:rPr>
          <w:rFonts w:hint="eastAsia" w:cs="仿宋_GB2312"/>
          <w:lang w:val="en-US" w:eastAsia="zh-CN"/>
        </w:rPr>
        <w:t>；</w:t>
      </w:r>
      <w:r>
        <w:rPr>
          <w:rFonts w:hint="eastAsia" w:ascii="仿宋_GB2312" w:hAnsi="仿宋_GB2312" w:eastAsia="仿宋_GB2312" w:cs="仿宋_GB2312"/>
          <w:lang w:val="en-US" w:eastAsia="zh-CN"/>
        </w:rPr>
        <w:t>方位图、平面布局图、操作流程和经营条件是否发生变化的声明可容缺受理，申请人在守信核查环节补齐即可。</w:t>
      </w:r>
    </w:p>
    <w:p>
      <w:pPr>
        <w:pStyle w:val="3"/>
        <w:spacing w:line="520" w:lineRule="exact"/>
        <w:ind w:firstLine="640" w:firstLineChars="200"/>
        <w:rPr>
          <w:rFonts w:hint="eastAsia" w:ascii="仿宋_GB2312" w:hAnsi="仿宋_GB2312" w:eastAsia="仿宋_GB2312" w:cs="仿宋_GB2312"/>
          <w:lang w:val="en-US" w:eastAsia="zh-CN"/>
        </w:rPr>
        <w:sectPr>
          <w:headerReference r:id="rId11" w:type="default"/>
          <w:footerReference r:id="rId12" w:type="default"/>
          <w:pgSz w:w="11906" w:h="16838"/>
          <w:pgMar w:top="1440" w:right="1800" w:bottom="1440" w:left="1800" w:header="851" w:footer="992" w:gutter="0"/>
          <w:cols w:space="425" w:num="1"/>
          <w:docGrid w:type="lines" w:linePitch="312" w:charSpace="0"/>
        </w:sectPr>
      </w:pPr>
      <w:r>
        <w:rPr>
          <w:rFonts w:hint="eastAsia" w:ascii="仿宋_GB2312" w:hAnsi="仿宋_GB2312" w:eastAsia="仿宋_GB2312" w:cs="仿宋_GB2312"/>
          <w:lang w:val="en-US" w:eastAsia="zh-CN"/>
        </w:rPr>
        <w:t>以上材料清单若有新的版本，则以首都之窗公示为准。</w:t>
      </w:r>
    </w:p>
    <w:p>
      <w:pPr>
        <w:pStyle w:val="3"/>
        <w:spacing w:line="520" w:lineRule="exact"/>
        <w:ind w:firstLine="0" w:firstLineChars="0"/>
        <w:rPr>
          <w:rFonts w:ascii="仿宋_GB2312" w:hAnsi="仿宋_GB2312" w:eastAsia="仿宋_GB2312" w:cs="仿宋_GB2312"/>
        </w:rPr>
      </w:pPr>
      <w:r>
        <w:rPr>
          <w:rFonts w:hint="eastAsia" w:ascii="仿宋_GB2312" w:hAnsi="仿宋_GB2312" w:eastAsia="仿宋_GB2312" w:cs="仿宋_GB2312"/>
        </w:rPr>
        <w:t>附件2</w:t>
      </w:r>
    </w:p>
    <w:p>
      <w:pPr>
        <w:spacing w:line="520" w:lineRule="exact"/>
        <w:ind w:firstLine="0" w:firstLineChars="0"/>
        <w:jc w:val="center"/>
        <w:rPr>
          <w:rFonts w:ascii="方正小标宋简体" w:hAnsi="方正小标宋简体" w:eastAsia="方正小标宋简体" w:cs="方正小标宋简体"/>
        </w:rPr>
      </w:pPr>
      <w:r>
        <w:rPr>
          <w:rFonts w:hint="eastAsia" w:ascii="方正小标宋简体" w:hAnsi="方正小标宋简体" w:eastAsia="方正小标宋简体" w:cs="方正小标宋简体"/>
          <w:sz w:val="36"/>
          <w:szCs w:val="36"/>
        </w:rPr>
        <w:t>食品连锁经营企业“一证多址”申请书</w:t>
      </w:r>
    </w:p>
    <w:tbl>
      <w:tblPr>
        <w:tblStyle w:val="1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0"/>
        <w:gridCol w:w="397"/>
        <w:gridCol w:w="2056"/>
        <w:gridCol w:w="2168"/>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br w:type="page"/>
            </w:r>
            <w:r>
              <w:rPr>
                <w:rFonts w:hint="eastAsia"/>
                <w:sz w:val="24"/>
                <w:szCs w:val="24"/>
              </w:rPr>
              <w:t>企业名称</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left="-57" w:right="-57" w:firstLine="0" w:firstLineChars="0"/>
              <w:jc w:val="center"/>
              <w:rPr>
                <w:sz w:val="24"/>
                <w:szCs w:val="24"/>
              </w:rPr>
            </w:pPr>
            <w:r>
              <w:rPr>
                <w:rFonts w:hint="eastAsia"/>
                <w:sz w:val="24"/>
                <w:szCs w:val="24"/>
              </w:rPr>
              <w:t>统一社会信用代码</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法定代表人</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住所</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主体业态</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经营项目</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经营场所设置、流程布局、设施设备配置情况说明</w:t>
            </w:r>
          </w:p>
        </w:tc>
        <w:tc>
          <w:tcPr>
            <w:tcW w:w="3752" w:type="pct"/>
            <w:gridSpan w:val="3"/>
            <w:vAlign w:val="center"/>
          </w:tcPr>
          <w:p>
            <w:pPr>
              <w:pStyle w:val="6"/>
              <w:ind w:firstLine="0" w:firstLineChars="0"/>
              <w:jc w:val="center"/>
              <w:rPr>
                <w:sz w:val="24"/>
                <w:szCs w:val="24"/>
              </w:rPr>
            </w:pPr>
            <w:r>
              <w:rPr>
                <w:rFonts w:hint="eastAsia"/>
                <w:b w:val="0"/>
                <w:bCs w:val="0"/>
                <w:sz w:val="24"/>
                <w:szCs w:val="24"/>
              </w:rPr>
              <w:t>（可附页）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北京市范围内</w:t>
            </w:r>
          </w:p>
          <w:p>
            <w:pPr>
              <w:widowControl/>
              <w:adjustRightInd w:val="0"/>
              <w:snapToGrid w:val="0"/>
              <w:spacing w:line="520" w:lineRule="exact"/>
              <w:ind w:firstLine="0" w:firstLineChars="0"/>
              <w:jc w:val="center"/>
              <w:rPr>
                <w:sz w:val="24"/>
                <w:szCs w:val="24"/>
              </w:rPr>
            </w:pPr>
            <w:r>
              <w:rPr>
                <w:rFonts w:hint="eastAsia"/>
                <w:sz w:val="24"/>
                <w:szCs w:val="24"/>
              </w:rPr>
              <w:t>直营门店数</w:t>
            </w:r>
          </w:p>
        </w:tc>
        <w:tc>
          <w:tcPr>
            <w:tcW w:w="1206" w:type="pct"/>
            <w:vAlign w:val="center"/>
          </w:tcPr>
          <w:p>
            <w:pPr>
              <w:widowControl/>
              <w:adjustRightInd w:val="0"/>
              <w:snapToGrid w:val="0"/>
              <w:spacing w:line="520" w:lineRule="exact"/>
              <w:ind w:firstLine="480"/>
              <w:jc w:val="center"/>
              <w:rPr>
                <w:sz w:val="24"/>
                <w:szCs w:val="24"/>
              </w:rPr>
            </w:pPr>
          </w:p>
        </w:tc>
        <w:tc>
          <w:tcPr>
            <w:tcW w:w="1272" w:type="pct"/>
            <w:vAlign w:val="center"/>
          </w:tcPr>
          <w:p>
            <w:pPr>
              <w:widowControl/>
              <w:adjustRightInd w:val="0"/>
              <w:snapToGrid w:val="0"/>
              <w:spacing w:line="520" w:lineRule="exact"/>
              <w:ind w:firstLine="0" w:firstLineChars="0"/>
              <w:jc w:val="center"/>
              <w:rPr>
                <w:sz w:val="24"/>
                <w:szCs w:val="24"/>
              </w:rPr>
            </w:pPr>
            <w:r>
              <w:rPr>
                <w:rFonts w:hint="eastAsia"/>
                <w:sz w:val="24"/>
                <w:szCs w:val="24"/>
              </w:rPr>
              <w:t>经开区范围内</w:t>
            </w:r>
          </w:p>
          <w:p>
            <w:pPr>
              <w:widowControl/>
              <w:adjustRightInd w:val="0"/>
              <w:snapToGrid w:val="0"/>
              <w:spacing w:line="520" w:lineRule="exact"/>
              <w:ind w:firstLine="0" w:firstLineChars="0"/>
              <w:jc w:val="center"/>
              <w:rPr>
                <w:sz w:val="24"/>
                <w:szCs w:val="24"/>
              </w:rPr>
            </w:pPr>
            <w:r>
              <w:rPr>
                <w:rFonts w:hint="eastAsia"/>
                <w:sz w:val="24"/>
                <w:szCs w:val="24"/>
              </w:rPr>
              <w:t>直营门店数</w:t>
            </w:r>
          </w:p>
        </w:tc>
        <w:tc>
          <w:tcPr>
            <w:tcW w:w="1274" w:type="pct"/>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联系人</w:t>
            </w:r>
          </w:p>
        </w:tc>
        <w:tc>
          <w:tcPr>
            <w:tcW w:w="1206" w:type="pct"/>
            <w:vAlign w:val="center"/>
          </w:tcPr>
          <w:p>
            <w:pPr>
              <w:widowControl/>
              <w:adjustRightInd w:val="0"/>
              <w:snapToGrid w:val="0"/>
              <w:spacing w:line="520" w:lineRule="exact"/>
              <w:ind w:firstLine="480"/>
              <w:jc w:val="center"/>
              <w:rPr>
                <w:sz w:val="24"/>
                <w:szCs w:val="24"/>
              </w:rPr>
            </w:pPr>
          </w:p>
        </w:tc>
        <w:tc>
          <w:tcPr>
            <w:tcW w:w="1272" w:type="pct"/>
            <w:vAlign w:val="center"/>
          </w:tcPr>
          <w:p>
            <w:pPr>
              <w:widowControl/>
              <w:adjustRightInd w:val="0"/>
              <w:snapToGrid w:val="0"/>
              <w:spacing w:line="520" w:lineRule="exact"/>
              <w:ind w:firstLine="0" w:firstLineChars="0"/>
              <w:jc w:val="center"/>
              <w:rPr>
                <w:sz w:val="24"/>
                <w:szCs w:val="24"/>
              </w:rPr>
            </w:pPr>
            <w:r>
              <w:rPr>
                <w:rFonts w:hint="eastAsia"/>
                <w:sz w:val="24"/>
                <w:szCs w:val="24"/>
              </w:rPr>
              <w:t>联系电话</w:t>
            </w:r>
          </w:p>
        </w:tc>
        <w:tc>
          <w:tcPr>
            <w:tcW w:w="1274" w:type="pct"/>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000" w:type="pct"/>
            <w:gridSpan w:val="5"/>
            <w:vAlign w:val="center"/>
          </w:tcPr>
          <w:p>
            <w:pPr>
              <w:widowControl/>
              <w:adjustRightInd w:val="0"/>
              <w:snapToGrid w:val="0"/>
              <w:spacing w:line="520" w:lineRule="exact"/>
              <w:ind w:firstLine="0" w:firstLineChars="0"/>
              <w:jc w:val="center"/>
              <w:rPr>
                <w:rFonts w:ascii="黑体" w:hAnsi="黑体" w:eastAsia="黑体"/>
                <w:sz w:val="24"/>
                <w:szCs w:val="24"/>
              </w:rPr>
            </w:pPr>
            <w:r>
              <w:rPr>
                <w:rFonts w:hint="eastAsia" w:ascii="黑体" w:hAnsi="黑体" w:eastAsia="黑体"/>
                <w:sz w:val="24"/>
                <w:szCs w:val="24"/>
              </w:rPr>
              <w:t>拟申请资格审查直营门店基本情况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015" w:type="pct"/>
            <w:vAlign w:val="center"/>
          </w:tcPr>
          <w:p>
            <w:pPr>
              <w:widowControl/>
              <w:adjustRightInd w:val="0"/>
              <w:snapToGrid w:val="0"/>
              <w:spacing w:line="520" w:lineRule="exact"/>
              <w:ind w:firstLine="0" w:firstLineChars="0"/>
              <w:jc w:val="center"/>
              <w:rPr>
                <w:sz w:val="24"/>
                <w:szCs w:val="24"/>
              </w:rPr>
            </w:pPr>
            <w:r>
              <w:rPr>
                <w:rFonts w:hint="eastAsia"/>
                <w:sz w:val="24"/>
                <w:szCs w:val="24"/>
              </w:rPr>
              <w:t>名称</w:t>
            </w:r>
          </w:p>
        </w:tc>
        <w:tc>
          <w:tcPr>
            <w:tcW w:w="1439"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统一社会信用代码</w:t>
            </w:r>
          </w:p>
        </w:tc>
        <w:tc>
          <w:tcPr>
            <w:tcW w:w="2546"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场所地址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015" w:type="pct"/>
            <w:vAlign w:val="center"/>
          </w:tcPr>
          <w:p>
            <w:pPr>
              <w:widowControl/>
              <w:adjustRightInd w:val="0"/>
              <w:snapToGrid w:val="0"/>
              <w:spacing w:line="520" w:lineRule="exact"/>
              <w:ind w:firstLine="480"/>
              <w:jc w:val="center"/>
              <w:rPr>
                <w:sz w:val="24"/>
                <w:szCs w:val="24"/>
              </w:rPr>
            </w:pPr>
          </w:p>
        </w:tc>
        <w:tc>
          <w:tcPr>
            <w:tcW w:w="1439" w:type="pct"/>
            <w:gridSpan w:val="2"/>
            <w:vAlign w:val="center"/>
          </w:tcPr>
          <w:p>
            <w:pPr>
              <w:widowControl/>
              <w:adjustRightInd w:val="0"/>
              <w:snapToGrid w:val="0"/>
              <w:spacing w:line="520" w:lineRule="exact"/>
              <w:ind w:firstLine="480"/>
              <w:jc w:val="center"/>
              <w:rPr>
                <w:sz w:val="24"/>
                <w:szCs w:val="24"/>
              </w:rPr>
            </w:pPr>
          </w:p>
        </w:tc>
        <w:tc>
          <w:tcPr>
            <w:tcW w:w="2546" w:type="pct"/>
            <w:gridSpan w:val="2"/>
            <w:vAlign w:val="center"/>
          </w:tcPr>
          <w:p>
            <w:pPr>
              <w:widowControl/>
              <w:adjustRightInd w:val="0"/>
              <w:snapToGrid w:val="0"/>
              <w:spacing w:line="520" w:lineRule="exact"/>
              <w:ind w:firstLine="0" w:firstLineChars="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81" w:hRule="atLeast"/>
          <w:jc w:val="center"/>
        </w:trPr>
        <w:tc>
          <w:tcPr>
            <w:tcW w:w="5000" w:type="pct"/>
            <w:gridSpan w:val="5"/>
            <w:vAlign w:val="center"/>
          </w:tcPr>
          <w:p>
            <w:pPr>
              <w:widowControl/>
              <w:adjustRightInd w:val="0"/>
              <w:snapToGrid w:val="0"/>
              <w:spacing w:before="60" w:line="520" w:lineRule="exact"/>
              <w:ind w:firstLine="0" w:firstLineChars="0"/>
              <w:jc w:val="center"/>
              <w:rPr>
                <w:sz w:val="24"/>
                <w:szCs w:val="24"/>
              </w:rPr>
            </w:pPr>
            <w:r>
              <w:rPr>
                <w:rFonts w:hint="eastAsia"/>
                <w:sz w:val="24"/>
                <w:szCs w:val="24"/>
              </w:rPr>
              <w:t>保证申明</w:t>
            </w:r>
          </w:p>
          <w:p>
            <w:pPr>
              <w:widowControl/>
              <w:adjustRightInd w:val="0"/>
              <w:snapToGrid w:val="0"/>
              <w:spacing w:before="60" w:line="520" w:lineRule="exact"/>
              <w:ind w:firstLine="480"/>
              <w:jc w:val="left"/>
              <w:rPr>
                <w:sz w:val="24"/>
                <w:szCs w:val="24"/>
              </w:rPr>
            </w:pPr>
            <w:r>
              <w:rPr>
                <w:rFonts w:hint="eastAsia"/>
                <w:sz w:val="24"/>
                <w:szCs w:val="24"/>
              </w:rPr>
              <w:t>本单位保证申请书中所填内容及所附资料均真实、合法、有效，复印文本均与原件一致。如有不实之处，本单位愿负相应的法律责任并承担由此产生的一切后果。</w:t>
            </w:r>
          </w:p>
          <w:p>
            <w:pPr>
              <w:widowControl/>
              <w:adjustRightInd w:val="0"/>
              <w:snapToGrid w:val="0"/>
              <w:spacing w:before="60" w:line="520" w:lineRule="exact"/>
              <w:ind w:firstLine="0" w:firstLineChars="0"/>
              <w:rPr>
                <w:sz w:val="24"/>
                <w:szCs w:val="24"/>
              </w:rPr>
            </w:pPr>
            <w:r>
              <w:rPr>
                <w:rFonts w:hint="eastAsia"/>
                <w:sz w:val="24"/>
                <w:szCs w:val="24"/>
              </w:rPr>
              <w:t>申请人签字（单位盖章）：　　　　</w:t>
            </w:r>
            <w:r>
              <w:rPr>
                <w:sz w:val="24"/>
                <w:szCs w:val="24"/>
              </w:rPr>
              <w:t>　委托代理人签字：</w:t>
            </w:r>
          </w:p>
          <w:p>
            <w:pPr>
              <w:widowControl/>
              <w:adjustRightInd w:val="0"/>
              <w:snapToGrid w:val="0"/>
              <w:spacing w:before="60" w:line="520" w:lineRule="exact"/>
              <w:ind w:firstLine="2400" w:firstLineChars="1000"/>
              <w:jc w:val="left"/>
              <w:rPr>
                <w:sz w:val="24"/>
                <w:szCs w:val="24"/>
              </w:rPr>
            </w:pPr>
            <w:r>
              <w:rPr>
                <w:rFonts w:hint="eastAsia"/>
                <w:sz w:val="24"/>
                <w:szCs w:val="24"/>
              </w:rPr>
              <w:t>年　　月　　日</w:t>
            </w:r>
            <w:r>
              <w:rPr>
                <w:rFonts w:hint="eastAsia"/>
                <w:sz w:val="24"/>
                <w:szCs w:val="24"/>
                <w:lang w:val="en-US" w:eastAsia="zh-CN"/>
              </w:rPr>
              <w:t xml:space="preserve">                     </w:t>
            </w:r>
            <w:r>
              <w:rPr>
                <w:sz w:val="24"/>
                <w:szCs w:val="24"/>
              </w:rPr>
              <w:t>年　　月　　日</w:t>
            </w:r>
          </w:p>
        </w:tc>
      </w:tr>
    </w:tbl>
    <w:p>
      <w:pPr>
        <w:overflowPunct w:val="0"/>
        <w:adjustRightInd w:val="0"/>
        <w:snapToGrid w:val="0"/>
        <w:ind w:firstLine="0" w:firstLineChars="0"/>
        <w:rPr>
          <w:color w:val="000000" w:themeColor="text1"/>
          <w:kern w:val="4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color w:val="000000" w:themeColor="text1"/>
          <w:kern w:val="44"/>
          <w14:textFill>
            <w14:solidFill>
              <w14:schemeClr w14:val="tx1"/>
            </w14:solidFill>
          </w14:textFill>
        </w:rPr>
      </w:pPr>
      <w:r>
        <w:rPr>
          <w:rFonts w:hint="eastAsia"/>
          <w:color w:val="000000" w:themeColor="text1"/>
          <w:kern w:val="44"/>
          <w14:textFill>
            <w14:solidFill>
              <w14:schemeClr w14:val="tx1"/>
            </w14:solidFill>
          </w14:textFill>
        </w:rPr>
        <w:t>附件3</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统一采购配送食品、规范经营管理基本情况</w:t>
      </w:r>
    </w:p>
    <w:p>
      <w:pPr>
        <w:tabs>
          <w:tab w:val="left" w:pos="790"/>
          <w:tab w:val="left" w:pos="1264"/>
        </w:tabs>
        <w:overflowPunct w:val="0"/>
        <w:adjustRightInd w:val="0"/>
        <w:snapToGrid w:val="0"/>
        <w:ind w:firstLine="0" w:firstLineChars="0"/>
        <w:rPr>
          <w:rFonts w:hAnsi="宋体"/>
          <w:szCs w:val="30"/>
        </w:rPr>
      </w:pPr>
    </w:p>
    <w:p>
      <w:pPr>
        <w:tabs>
          <w:tab w:val="left" w:pos="790"/>
          <w:tab w:val="left" w:pos="1264"/>
        </w:tabs>
        <w:overflowPunct w:val="0"/>
        <w:adjustRightInd w:val="0"/>
        <w:snapToGrid w:val="0"/>
        <w:ind w:firstLine="0" w:firstLineChars="0"/>
        <w:rPr>
          <w:rFonts w:hAnsi="宋体"/>
          <w:szCs w:val="30"/>
        </w:rPr>
      </w:pPr>
      <w:r>
        <w:rPr>
          <w:rFonts w:hint="eastAsia" w:hAnsi="宋体"/>
          <w:szCs w:val="30"/>
        </w:rPr>
        <w:t>北京经济技术开发区行政审批局：</w:t>
      </w:r>
    </w:p>
    <w:p>
      <w:pPr>
        <w:tabs>
          <w:tab w:val="left" w:pos="790"/>
          <w:tab w:val="left" w:pos="1264"/>
        </w:tabs>
        <w:overflowPunct w:val="0"/>
        <w:adjustRightInd w:val="0"/>
        <w:snapToGrid w:val="0"/>
        <w:ind w:firstLine="640"/>
        <w:rPr>
          <w:rFonts w:hAnsi="宋体"/>
          <w:szCs w:val="30"/>
        </w:rPr>
      </w:pPr>
      <w:r>
        <w:rPr>
          <w:rFonts w:hint="eastAsia" w:hAnsi="宋体"/>
          <w:szCs w:val="30"/>
        </w:rPr>
        <w:t>我司实行直营连锁，统一采购配送食品的模式。依据《食品经营许可管理办法》，具体管理措施如下：</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ascii="楷体_GB2312" w:hAnsi="宋体" w:eastAsia="楷体_GB2312"/>
          <w:szCs w:val="30"/>
        </w:rPr>
      </w:pPr>
      <w:r>
        <w:rPr>
          <w:rFonts w:hint="eastAsia" w:ascii="楷体_GB2312" w:hAnsi="宋体" w:eastAsia="楷体_GB2312"/>
          <w:szCs w:val="30"/>
        </w:rPr>
        <w:t>（供参考：可描述原料管理、证照管理、物流管理、门店验收等相关措施）</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ascii="楷体_GB2312" w:hAnsi="宋体" w:eastAsia="楷体_GB2312"/>
          <w:szCs w:val="30"/>
        </w:rPr>
      </w:pPr>
      <w:r>
        <w:rPr>
          <w:rFonts w:hint="eastAsia" w:ascii="楷体_GB2312" w:hAnsi="宋体" w:eastAsia="楷体_GB2312"/>
          <w:szCs w:val="30"/>
        </w:rPr>
        <w:t>（供参考：可描述公司食品安全管理部门或管理架构、食品安全管理体系、员工培训考核、公司自查自评等相关情况）</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szCs w:val="30"/>
        </w:rPr>
      </w:pPr>
      <w:r>
        <w:rPr>
          <w:rFonts w:hint="eastAsia" w:hAnsi="宋体"/>
          <w:szCs w:val="30"/>
        </w:rPr>
        <w:t>特此说明。</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right="794" w:firstLine="640"/>
        <w:jc w:val="right"/>
        <w:rPr>
          <w:rFonts w:hAnsi="宋体"/>
          <w:szCs w:val="30"/>
        </w:rPr>
      </w:pPr>
      <w:r>
        <w:rPr>
          <w:rFonts w:hint="eastAsia" w:hAnsi="宋体"/>
          <w:szCs w:val="30"/>
        </w:rPr>
        <w:t>××××公司（盖章）</w:t>
      </w:r>
    </w:p>
    <w:p>
      <w:pPr>
        <w:tabs>
          <w:tab w:val="left" w:pos="790"/>
          <w:tab w:val="left" w:pos="1264"/>
        </w:tabs>
        <w:overflowPunct w:val="0"/>
        <w:adjustRightInd w:val="0"/>
        <w:snapToGrid w:val="0"/>
        <w:ind w:right="1247" w:firstLine="640"/>
        <w:jc w:val="right"/>
        <w:rPr>
          <w:rFonts w:hAnsi="宋体"/>
          <w:szCs w:val="30"/>
        </w:rPr>
      </w:pPr>
      <w:r>
        <w:rPr>
          <w:rFonts w:hint="eastAsia" w:hAnsi="宋体"/>
          <w:szCs w:val="30"/>
        </w:rPr>
        <w:t>年　　月　　日</w:t>
      </w:r>
    </w:p>
    <w:p>
      <w:pPr>
        <w:ind w:firstLine="640"/>
      </w:pPr>
    </w:p>
    <w:p>
      <w:pPr>
        <w:ind w:firstLine="640"/>
        <w:rPr>
          <w:rFonts w:hAnsi="宋体"/>
          <w:szCs w:val="30"/>
        </w:rPr>
      </w:pPr>
    </w:p>
    <w:p>
      <w:pPr>
        <w:ind w:firstLine="640"/>
      </w:pPr>
    </w:p>
    <w:p>
      <w:pPr>
        <w:ind w:firstLine="640"/>
        <w:rPr>
          <w:rFonts w:hAnsi="宋体"/>
          <w:szCs w:val="30"/>
        </w:rPr>
      </w:pPr>
    </w:p>
    <w:p>
      <w:pPr>
        <w:pStyle w:val="3"/>
        <w:spacing w:line="520" w:lineRule="exact"/>
        <w:ind w:firstLine="640"/>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szCs w:val="30"/>
        </w:rPr>
      </w:pPr>
      <w:r>
        <w:rPr>
          <w:rFonts w:hint="eastAsia"/>
          <w:color w:val="000000" w:themeColor="text1"/>
          <w:kern w:val="44"/>
          <w14:textFill>
            <w14:solidFill>
              <w14:schemeClr w14:val="tx1"/>
            </w14:solidFill>
          </w14:textFill>
        </w:rPr>
        <w:t>附件 4</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食品连锁经营企业食品安全管理制度</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（目录，参考）</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1.从业人员健康管理制度和培训管理制度；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2.食品安全管理员制度；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3.食品安全自检自查与报告制度；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4.食品经营过程与控制制度；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5.场所及设施设备清洗消毒和维修保养制度；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6.进货查验和查验记录制度；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7.主要食品和食用农产品安全信息追溯制度；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8.食品贮存、运输（包括有特殊温度、湿度控制要求的食品和食用农产品的全程温度、湿度控制）管理制度；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9.不合格食品和废弃物处置制度；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10.食品安全信息公示制度；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11.食品安全突发事件应急处置方案；</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12.食品添加剂使用管理制度；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13.定期清洗消毒空调及通风设施制度；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14.定期清洁卫生间制度；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15.临近保质期食品集中陈列和消费提示制度；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16.产生餐厨废弃油脂的许可事项的餐厨废弃食用油脂管理制度；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17.法律、法规、规章规定的其他制度。</w:t>
      </w:r>
    </w:p>
    <w:p>
      <w:pPr>
        <w:ind w:firstLine="0" w:firstLineChars="0"/>
        <w:rPr>
          <w:rFonts w:hAnsi="宋体"/>
          <w:szCs w:val="30"/>
        </w:rPr>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szCs w:val="30"/>
        </w:rPr>
      </w:pPr>
      <w:r>
        <w:rPr>
          <w:rFonts w:hint="eastAsia"/>
          <w:color w:val="000000" w:themeColor="text1"/>
          <w:kern w:val="44"/>
          <w14:textFill>
            <w14:solidFill>
              <w14:schemeClr w14:val="tx1"/>
            </w14:solidFill>
          </w14:textFill>
        </w:rPr>
        <w:t>附件 5</w:t>
      </w:r>
    </w:p>
    <w:p>
      <w:pPr>
        <w:tabs>
          <w:tab w:val="left" w:pos="790"/>
        </w:tabs>
        <w:overflowPunct w:val="0"/>
        <w:adjustRightInd w:val="0"/>
        <w:snapToGrid w:val="0"/>
        <w:ind w:firstLine="0" w:firstLineChars="0"/>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食品连锁经营企业“一证多址”资格审查表</w:t>
      </w:r>
    </w:p>
    <w:p>
      <w:pPr>
        <w:pStyle w:val="6"/>
        <w:spacing w:before="0" w:after="0" w:line="560" w:lineRule="exact"/>
        <w:ind w:firstLine="0" w:firstLineChars="0"/>
        <w:rPr>
          <w:rFonts w:hint="eastAsia" w:ascii="黑体" w:hAnsi="黑体" w:eastAsia="黑体" w:cs="仿宋_GB2312"/>
          <w:b w:val="0"/>
          <w:bCs w:val="0"/>
          <w:sz w:val="24"/>
          <w:szCs w:val="24"/>
          <w:lang w:val="en-US" w:eastAsia="zh-CN"/>
        </w:rPr>
      </w:pPr>
      <w:r>
        <w:rPr>
          <w:rFonts w:hint="eastAsia" w:ascii="黑体" w:hAnsi="黑体" w:eastAsia="黑体" w:cs="仿宋_GB2312"/>
          <w:b w:val="0"/>
          <w:bCs w:val="0"/>
          <w:sz w:val="24"/>
          <w:szCs w:val="24"/>
          <w:lang w:val="en-US" w:eastAsia="zh-CN"/>
        </w:rPr>
        <w:t>企业名称：</w:t>
      </w:r>
    </w:p>
    <w:tbl>
      <w:tblPr>
        <w:tblStyle w:val="13"/>
        <w:tblW w:w="88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4"/>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144" w:type="dxa"/>
            <w:noWrap/>
            <w:vAlign w:val="center"/>
          </w:tcPr>
          <w:p>
            <w:pPr>
              <w:widowControl/>
              <w:adjustRightInd w:val="0"/>
              <w:snapToGrid w:val="0"/>
              <w:ind w:firstLine="480"/>
              <w:jc w:val="center"/>
              <w:rPr>
                <w:rFonts w:ascii="黑体" w:hAnsi="黑体" w:eastAsia="黑体"/>
                <w:sz w:val="24"/>
                <w:szCs w:val="24"/>
              </w:rPr>
            </w:pPr>
            <w:r>
              <w:rPr>
                <w:rFonts w:hint="eastAsia" w:ascii="黑体" w:hAnsi="黑体" w:eastAsia="黑体"/>
                <w:sz w:val="24"/>
                <w:szCs w:val="24"/>
              </w:rPr>
              <w:t>评审内容</w:t>
            </w:r>
          </w:p>
        </w:tc>
        <w:tc>
          <w:tcPr>
            <w:tcW w:w="1701" w:type="dxa"/>
            <w:noWrap/>
            <w:vAlign w:val="center"/>
          </w:tcPr>
          <w:p>
            <w:pPr>
              <w:widowControl/>
              <w:adjustRightInd w:val="0"/>
              <w:snapToGrid w:val="0"/>
              <w:ind w:firstLine="0" w:firstLineChars="0"/>
              <w:jc w:val="center"/>
              <w:rPr>
                <w:rFonts w:ascii="黑体" w:hAnsi="黑体" w:eastAsia="黑体"/>
                <w:sz w:val="24"/>
                <w:szCs w:val="24"/>
              </w:rPr>
            </w:pPr>
            <w:r>
              <w:rPr>
                <w:rFonts w:hint="eastAsia" w:ascii="黑体" w:hAnsi="黑体" w:eastAsia="黑体"/>
                <w:sz w:val="24"/>
                <w:szCs w:val="24"/>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1.公司基本情况说明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2.在本市或本区具备相应数量的直营门店</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6"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3.制度齐全，包括从业人员健康管理制度和培训管理制度；食品安全管理员制度；食品安全自检自查与报告制度；食品经营过程与控制制度；场所及设施设备清洗消毒和维修保养制度；进货查验和查验记录制度；主要食品和食用农产品安全信息追溯制度；食品贮存、运输管理制度；不合格食品和废弃物处置制度；食品安全信息公示制度；食品安全突发事件应急处置方案；食品添加剂使用管理制度；定期清洗消毒空调及通风设施制度；定期清洁卫生间制度；临近保质期食品集中陈列和消费提示制度；产生餐厨废弃油脂的许可事项的餐厨废弃食用油脂管理制度等</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4.统一采购配送食品情况说明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5.统一经营管理规范情况说明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6.申请资格审查直营门店的现场审核（图纸、设施设备等）与申报材料是否一致，是否符合《食品经营许可审查通则》要求</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bl>
    <w:p>
      <w:pPr>
        <w:widowControl/>
        <w:adjustRightInd w:val="0"/>
        <w:snapToGrid w:val="0"/>
        <w:spacing w:before="60"/>
        <w:ind w:firstLine="0" w:firstLineChars="0"/>
        <w:rPr>
          <w:sz w:val="24"/>
          <w:szCs w:val="24"/>
        </w:rPr>
      </w:pPr>
      <w:r>
        <w:rPr>
          <w:rFonts w:hint="eastAsia" w:ascii="楷体_GB2312" w:eastAsia="楷体_GB2312"/>
          <w:sz w:val="24"/>
          <w:szCs w:val="24"/>
        </w:rPr>
        <w:t>注：以上核查必须全部符合。</w:t>
      </w:r>
    </w:p>
    <w:p>
      <w:pPr>
        <w:widowControl/>
        <w:adjustRightInd w:val="0"/>
        <w:snapToGrid w:val="0"/>
        <w:ind w:firstLine="0" w:firstLineChars="0"/>
        <w:rPr>
          <w:sz w:val="28"/>
          <w:szCs w:val="28"/>
        </w:rPr>
      </w:pPr>
      <w:r>
        <w:rPr>
          <w:rFonts w:hint="eastAsia"/>
          <w:sz w:val="24"/>
          <w:szCs w:val="24"/>
        </w:rPr>
        <w:t>审查意见：通过□　　　不通过□</w:t>
      </w:r>
    </w:p>
    <w:p>
      <w:pPr>
        <w:widowControl/>
        <w:adjustRightInd w:val="0"/>
        <w:snapToGrid w:val="0"/>
        <w:ind w:firstLine="0" w:firstLineChars="0"/>
        <w:rPr>
          <w:sz w:val="24"/>
          <w:szCs w:val="24"/>
        </w:rPr>
      </w:pPr>
      <w:r>
        <w:rPr>
          <w:rFonts w:hint="eastAsia"/>
          <w:sz w:val="24"/>
          <w:szCs w:val="24"/>
        </w:rPr>
        <w:t>审查人员签名：</w:t>
      </w:r>
    </w:p>
    <w:p>
      <w:pPr>
        <w:widowControl/>
        <w:adjustRightInd w:val="0"/>
        <w:snapToGrid w:val="0"/>
        <w:ind w:firstLine="480"/>
        <w:jc w:val="right"/>
      </w:pPr>
      <w:r>
        <w:rPr>
          <w:rFonts w:hint="eastAsia"/>
          <w:sz w:val="24"/>
          <w:szCs w:val="24"/>
        </w:rPr>
        <w:t>　　年　　月　　日</w:t>
      </w:r>
    </w:p>
    <w:p>
      <w:pPr>
        <w:pStyle w:val="6"/>
        <w:ind w:firstLine="0" w:firstLineChars="0"/>
        <w:rPr>
          <w:rFonts w:ascii="仿宋_GB2312" w:hAnsi="宋体" w:eastAsia="仿宋_GB2312" w:cs="仿宋_GB2312"/>
          <w:b w:val="0"/>
          <w:bCs w:val="0"/>
          <w:sz w:val="32"/>
          <w:szCs w:val="30"/>
        </w:rPr>
        <w:sectPr>
          <w:pgSz w:w="11906" w:h="16838"/>
          <w:pgMar w:top="1440" w:right="1800" w:bottom="1440" w:left="1800" w:header="851" w:footer="992" w:gutter="0"/>
          <w:cols w:space="425" w:num="1"/>
          <w:docGrid w:type="lines" w:linePitch="312" w:charSpace="0"/>
        </w:sectPr>
      </w:pPr>
    </w:p>
    <w:p>
      <w:pPr>
        <w:pStyle w:val="6"/>
        <w:ind w:firstLine="0" w:firstLineChars="0"/>
        <w:rPr>
          <w:rFonts w:ascii="仿宋_GB2312" w:hAnsi="宋体" w:eastAsia="仿宋_GB2312" w:cs="仿宋_GB2312"/>
          <w:b w:val="0"/>
          <w:bCs w:val="0"/>
          <w:sz w:val="32"/>
          <w:szCs w:val="30"/>
        </w:rPr>
      </w:pPr>
      <w:r>
        <w:rPr>
          <w:rFonts w:hint="eastAsia" w:ascii="仿宋_GB2312" w:hAnsi="宋体" w:eastAsia="仿宋_GB2312" w:cs="仿宋_GB2312"/>
          <w:b w:val="0"/>
          <w:bCs w:val="0"/>
          <w:sz w:val="32"/>
          <w:szCs w:val="30"/>
        </w:rPr>
        <w:t>附件</w:t>
      </w:r>
      <w:r>
        <w:rPr>
          <w:rFonts w:ascii="仿宋_GB2312" w:hAnsi="宋体" w:eastAsia="仿宋_GB2312" w:cs="仿宋_GB2312"/>
          <w:b w:val="0"/>
          <w:bCs w:val="0"/>
          <w:sz w:val="32"/>
          <w:szCs w:val="30"/>
        </w:rPr>
        <w:t>6</w:t>
      </w:r>
    </w:p>
    <w:p>
      <w:pPr>
        <w:spacing w:line="520" w:lineRule="exact"/>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《综合许可资格证》示意图</w:t>
      </w:r>
    </w:p>
    <w:p>
      <w:pPr>
        <w:pStyle w:val="6"/>
        <w:ind w:firstLine="0" w:firstLineChars="0"/>
      </w:pPr>
      <w:r>
        <w:rPr>
          <w:rFonts w:hint="eastAsia"/>
        </w:rPr>
        <w:drawing>
          <wp:inline distT="0" distB="0" distL="114300" distR="114300">
            <wp:extent cx="5269865" cy="3725545"/>
            <wp:effectExtent l="0" t="0" r="6985" b="8255"/>
            <wp:docPr id="1" name="图片 1" descr="webwxgetmsg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ebwxgetmsgimg"/>
                    <pic:cNvPicPr>
                      <a:picLocks noChangeAspect="1"/>
                    </pic:cNvPicPr>
                  </pic:nvPicPr>
                  <pic:blipFill>
                    <a:blip r:embed="rId14"/>
                    <a:stretch>
                      <a:fillRect/>
                    </a:stretch>
                  </pic:blipFill>
                  <pic:spPr>
                    <a:xfrm>
                      <a:off x="0" y="0"/>
                      <a:ext cx="5269865" cy="3725545"/>
                    </a:xfrm>
                    <a:prstGeom prst="rect">
                      <a:avLst/>
                    </a:prstGeom>
                  </pic:spPr>
                </pic:pic>
              </a:graphicData>
            </a:graphic>
          </wp:inline>
        </w:drawing>
      </w:r>
    </w:p>
    <w:p>
      <w:pPr>
        <w:ind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E915DF4-4BF5-4996-8ACB-AC659FA53F3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2317F1A-3786-4DED-8700-11E931504C9A}"/>
  </w:font>
  <w:font w:name="仿宋_GB2312">
    <w:panose1 w:val="02010609030101010101"/>
    <w:charset w:val="86"/>
    <w:family w:val="auto"/>
    <w:pitch w:val="default"/>
    <w:sig w:usb0="00000001" w:usb1="080E0000" w:usb2="00000000" w:usb3="00000000" w:csb0="00040000" w:csb1="00000000"/>
    <w:embedRegular r:id="rId3" w:fontKey="{E5AAEA9A-8740-40C5-9FD7-AAA4B6619DA7}"/>
  </w:font>
  <w:font w:name="Calibri Light">
    <w:panose1 w:val="020F0302020204030204"/>
    <w:charset w:val="00"/>
    <w:family w:val="auto"/>
    <w:pitch w:val="default"/>
    <w:sig w:usb0="E4002EFF" w:usb1="C000247B" w:usb2="00000009" w:usb3="00000000" w:csb0="200001FF" w:csb1="00000000"/>
    <w:embedRegular r:id="rId4" w:fontKey="{B90F3BB2-B8F8-405C-8193-EDCCFDFE202D}"/>
  </w:font>
  <w:font w:name="楷体">
    <w:panose1 w:val="02010609060101010101"/>
    <w:charset w:val="86"/>
    <w:family w:val="auto"/>
    <w:pitch w:val="default"/>
    <w:sig w:usb0="800002BF" w:usb1="38CF7CFA" w:usb2="00000016" w:usb3="00000000" w:csb0="00040001" w:csb1="00000000"/>
  </w:font>
  <w:font w:name="FZFSK--GBK1-0">
    <w:altName w:val="微软雅黑"/>
    <w:panose1 w:val="00000000000000000000"/>
    <w:charset w:val="00"/>
    <w:family w:val="auto"/>
    <w:pitch w:val="default"/>
    <w:sig w:usb0="00000000" w:usb1="00000000" w:usb2="00000000" w:usb3="00000000" w:csb0="00040001" w:csb1="00000000"/>
  </w:font>
  <w:font w:name="方正小标宋简体">
    <w:panose1 w:val="02000000000000000000"/>
    <w:charset w:val="86"/>
    <w:family w:val="auto"/>
    <w:pitch w:val="default"/>
    <w:sig w:usb0="00000001" w:usb1="08000000" w:usb2="00000000" w:usb3="00000000" w:csb0="00040000" w:csb1="00000000"/>
    <w:embedRegular r:id="rId5" w:fontKey="{B26FE902-4B99-4058-A2F3-E22F4740BD70}"/>
  </w:font>
  <w:font w:name="楷体_GB2312">
    <w:panose1 w:val="02010609030101010101"/>
    <w:charset w:val="86"/>
    <w:family w:val="modern"/>
    <w:pitch w:val="default"/>
    <w:sig w:usb0="00000001" w:usb1="080E0000" w:usb2="00000000" w:usb3="00000000" w:csb0="00040000" w:csb1="00000000"/>
    <w:embedRegular r:id="rId6" w:fontKey="{B942488C-F9B0-44C3-92AE-F21CBB9A9E4B}"/>
  </w:font>
  <w:font w:name="仿宋">
    <w:panose1 w:val="02010609060101010101"/>
    <w:charset w:val="86"/>
    <w:family w:val="modern"/>
    <w:pitch w:val="default"/>
    <w:sig w:usb0="800002BF" w:usb1="38CF7CFA" w:usb2="00000016" w:usb3="00000000" w:csb0="00040001" w:csb1="00000000"/>
    <w:embedRegular r:id="rId7" w:fontKey="{2B22BB00-F562-4C1F-B013-0E1545EA3A7E}"/>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10"/>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ind w:firstLine="360"/>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yvpdEyAgAAYw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K+l0TICAABjBAAADgAAAAAAAAABACAAAAAfAQAAZHJzL2Uyb0RvYy54bWxQSwUG&#10;AAAAAAYABgBZAQAAwwUAAAAA&#10;">
              <v:fill on="f" focussize="0,0"/>
              <v:stroke on="f" weight="0.5pt"/>
              <v:imagedata o:title=""/>
              <o:lock v:ext="edit" aspectratio="f"/>
              <v:textbox inset="0mm,0mm,0mm,0mm" style="mso-fit-shape-to-text:t;">
                <w:txbxContent>
                  <w:p>
                    <w:pPr>
                      <w:pStyle w:val="10"/>
                      <w:ind w:firstLine="36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0"/>
  <w:bordersDoNotSurroundFooter w:val="0"/>
  <w:documentProtection w:enforcement="0"/>
  <w:defaultTabStop w:val="420"/>
  <w:drawingGridHorizontalSpacing w:val="160"/>
  <w:drawingGridVerticalSpacing w:val="435"/>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1NGQ4MDY4NjMxYWVlMzc3ODM2NDE0MmU1ODUxYzYifQ=="/>
  </w:docVars>
  <w:rsids>
    <w:rsidRoot w:val="48010CBF"/>
    <w:rsid w:val="0000246E"/>
    <w:rsid w:val="0001297E"/>
    <w:rsid w:val="00012FD8"/>
    <w:rsid w:val="00020686"/>
    <w:rsid w:val="00021313"/>
    <w:rsid w:val="00022255"/>
    <w:rsid w:val="00026BCE"/>
    <w:rsid w:val="00033639"/>
    <w:rsid w:val="00037876"/>
    <w:rsid w:val="00041D85"/>
    <w:rsid w:val="00044B50"/>
    <w:rsid w:val="00050C6D"/>
    <w:rsid w:val="000627F2"/>
    <w:rsid w:val="00071F39"/>
    <w:rsid w:val="0007444B"/>
    <w:rsid w:val="00076D93"/>
    <w:rsid w:val="000835E3"/>
    <w:rsid w:val="0009040B"/>
    <w:rsid w:val="00090B76"/>
    <w:rsid w:val="000A026D"/>
    <w:rsid w:val="000A0B5E"/>
    <w:rsid w:val="000A7EA8"/>
    <w:rsid w:val="000C42E0"/>
    <w:rsid w:val="000C49B8"/>
    <w:rsid w:val="000D18DD"/>
    <w:rsid w:val="000D51BD"/>
    <w:rsid w:val="000E21A9"/>
    <w:rsid w:val="000E2B0E"/>
    <w:rsid w:val="000F1F3D"/>
    <w:rsid w:val="000F751C"/>
    <w:rsid w:val="00100B9D"/>
    <w:rsid w:val="00101A54"/>
    <w:rsid w:val="00107776"/>
    <w:rsid w:val="0011672C"/>
    <w:rsid w:val="00116E56"/>
    <w:rsid w:val="00131E20"/>
    <w:rsid w:val="0014165A"/>
    <w:rsid w:val="00141982"/>
    <w:rsid w:val="00141A6C"/>
    <w:rsid w:val="001453FC"/>
    <w:rsid w:val="00146ACE"/>
    <w:rsid w:val="001541AF"/>
    <w:rsid w:val="001711FC"/>
    <w:rsid w:val="00172DD5"/>
    <w:rsid w:val="00173259"/>
    <w:rsid w:val="00176282"/>
    <w:rsid w:val="00183124"/>
    <w:rsid w:val="00184496"/>
    <w:rsid w:val="001857F5"/>
    <w:rsid w:val="00195642"/>
    <w:rsid w:val="001A18B7"/>
    <w:rsid w:val="001B2C2D"/>
    <w:rsid w:val="001D6F8E"/>
    <w:rsid w:val="001F7E5B"/>
    <w:rsid w:val="0020707B"/>
    <w:rsid w:val="00213E39"/>
    <w:rsid w:val="00216C71"/>
    <w:rsid w:val="00234149"/>
    <w:rsid w:val="00271CB4"/>
    <w:rsid w:val="00280424"/>
    <w:rsid w:val="00290D2D"/>
    <w:rsid w:val="002A224B"/>
    <w:rsid w:val="002A39EF"/>
    <w:rsid w:val="002D43DD"/>
    <w:rsid w:val="002E3DC5"/>
    <w:rsid w:val="002E517B"/>
    <w:rsid w:val="002F05CD"/>
    <w:rsid w:val="002F7C80"/>
    <w:rsid w:val="003033B9"/>
    <w:rsid w:val="003050A6"/>
    <w:rsid w:val="00305F63"/>
    <w:rsid w:val="00310206"/>
    <w:rsid w:val="003140A0"/>
    <w:rsid w:val="00325155"/>
    <w:rsid w:val="00332560"/>
    <w:rsid w:val="0036264D"/>
    <w:rsid w:val="00366CA9"/>
    <w:rsid w:val="00367F04"/>
    <w:rsid w:val="00373D4A"/>
    <w:rsid w:val="003743AD"/>
    <w:rsid w:val="00384B41"/>
    <w:rsid w:val="00385CFA"/>
    <w:rsid w:val="00393282"/>
    <w:rsid w:val="003A0D0E"/>
    <w:rsid w:val="003B0635"/>
    <w:rsid w:val="003B134E"/>
    <w:rsid w:val="003C01AE"/>
    <w:rsid w:val="003C0A35"/>
    <w:rsid w:val="003E01E4"/>
    <w:rsid w:val="003E752E"/>
    <w:rsid w:val="003F6168"/>
    <w:rsid w:val="0040058C"/>
    <w:rsid w:val="0040619D"/>
    <w:rsid w:val="00412C9A"/>
    <w:rsid w:val="0041476C"/>
    <w:rsid w:val="004154C6"/>
    <w:rsid w:val="00421E05"/>
    <w:rsid w:val="004235C6"/>
    <w:rsid w:val="00431A8E"/>
    <w:rsid w:val="00431EAB"/>
    <w:rsid w:val="004328AF"/>
    <w:rsid w:val="00440DD6"/>
    <w:rsid w:val="0044634C"/>
    <w:rsid w:val="00447118"/>
    <w:rsid w:val="00450A7F"/>
    <w:rsid w:val="004534A2"/>
    <w:rsid w:val="0046486C"/>
    <w:rsid w:val="00482B9E"/>
    <w:rsid w:val="00482C7C"/>
    <w:rsid w:val="00483DC9"/>
    <w:rsid w:val="004879B5"/>
    <w:rsid w:val="00490148"/>
    <w:rsid w:val="00490361"/>
    <w:rsid w:val="00493D03"/>
    <w:rsid w:val="004A4A43"/>
    <w:rsid w:val="004A4CC8"/>
    <w:rsid w:val="004B3783"/>
    <w:rsid w:val="004E06DB"/>
    <w:rsid w:val="004E66F0"/>
    <w:rsid w:val="004F04C9"/>
    <w:rsid w:val="004F513F"/>
    <w:rsid w:val="004F7121"/>
    <w:rsid w:val="00506F26"/>
    <w:rsid w:val="005109EC"/>
    <w:rsid w:val="00514D2A"/>
    <w:rsid w:val="00515225"/>
    <w:rsid w:val="00521EC3"/>
    <w:rsid w:val="00527CE7"/>
    <w:rsid w:val="00543A01"/>
    <w:rsid w:val="00555503"/>
    <w:rsid w:val="00564C08"/>
    <w:rsid w:val="005678D2"/>
    <w:rsid w:val="00570B43"/>
    <w:rsid w:val="00574560"/>
    <w:rsid w:val="00581497"/>
    <w:rsid w:val="005846CC"/>
    <w:rsid w:val="005972AA"/>
    <w:rsid w:val="005A0604"/>
    <w:rsid w:val="005A17CB"/>
    <w:rsid w:val="005A1FDF"/>
    <w:rsid w:val="005A337D"/>
    <w:rsid w:val="005A3535"/>
    <w:rsid w:val="005A3A0E"/>
    <w:rsid w:val="005A5DDB"/>
    <w:rsid w:val="005A6CEC"/>
    <w:rsid w:val="005B0F08"/>
    <w:rsid w:val="005C3052"/>
    <w:rsid w:val="005C6FD9"/>
    <w:rsid w:val="005D4DAC"/>
    <w:rsid w:val="005E4E4C"/>
    <w:rsid w:val="005E6937"/>
    <w:rsid w:val="005E6DD9"/>
    <w:rsid w:val="005E7742"/>
    <w:rsid w:val="005F4D53"/>
    <w:rsid w:val="005F6D99"/>
    <w:rsid w:val="006005A4"/>
    <w:rsid w:val="00607185"/>
    <w:rsid w:val="00611233"/>
    <w:rsid w:val="00614704"/>
    <w:rsid w:val="0061478E"/>
    <w:rsid w:val="00632617"/>
    <w:rsid w:val="00632D4D"/>
    <w:rsid w:val="00633020"/>
    <w:rsid w:val="006363F4"/>
    <w:rsid w:val="00644D97"/>
    <w:rsid w:val="00652AC0"/>
    <w:rsid w:val="006532FB"/>
    <w:rsid w:val="00660CA7"/>
    <w:rsid w:val="00673D7E"/>
    <w:rsid w:val="00681020"/>
    <w:rsid w:val="006825E1"/>
    <w:rsid w:val="00694903"/>
    <w:rsid w:val="00695EF2"/>
    <w:rsid w:val="00697A3A"/>
    <w:rsid w:val="006A19E0"/>
    <w:rsid w:val="006B3285"/>
    <w:rsid w:val="006C7CFF"/>
    <w:rsid w:val="006D56B1"/>
    <w:rsid w:val="006F3CC8"/>
    <w:rsid w:val="006F4B3C"/>
    <w:rsid w:val="006F5EA7"/>
    <w:rsid w:val="006F6619"/>
    <w:rsid w:val="00700859"/>
    <w:rsid w:val="00701621"/>
    <w:rsid w:val="007055C1"/>
    <w:rsid w:val="00712EC5"/>
    <w:rsid w:val="007239BF"/>
    <w:rsid w:val="0072584B"/>
    <w:rsid w:val="00733A50"/>
    <w:rsid w:val="00736200"/>
    <w:rsid w:val="00743544"/>
    <w:rsid w:val="00750AE2"/>
    <w:rsid w:val="00755419"/>
    <w:rsid w:val="00755930"/>
    <w:rsid w:val="0076034D"/>
    <w:rsid w:val="00776850"/>
    <w:rsid w:val="007842AE"/>
    <w:rsid w:val="007945AA"/>
    <w:rsid w:val="007A4200"/>
    <w:rsid w:val="007A745E"/>
    <w:rsid w:val="007B0F2B"/>
    <w:rsid w:val="007C1AE8"/>
    <w:rsid w:val="007C2945"/>
    <w:rsid w:val="007C4D67"/>
    <w:rsid w:val="007C6548"/>
    <w:rsid w:val="007D1093"/>
    <w:rsid w:val="007D6FC5"/>
    <w:rsid w:val="007E31F3"/>
    <w:rsid w:val="007E486F"/>
    <w:rsid w:val="007F30D9"/>
    <w:rsid w:val="007F560D"/>
    <w:rsid w:val="00810887"/>
    <w:rsid w:val="008116A8"/>
    <w:rsid w:val="008146CC"/>
    <w:rsid w:val="0082682E"/>
    <w:rsid w:val="00832A51"/>
    <w:rsid w:val="008354B6"/>
    <w:rsid w:val="00836EF4"/>
    <w:rsid w:val="00844175"/>
    <w:rsid w:val="00857818"/>
    <w:rsid w:val="00861602"/>
    <w:rsid w:val="008621A3"/>
    <w:rsid w:val="008640DA"/>
    <w:rsid w:val="00875A06"/>
    <w:rsid w:val="00885F6E"/>
    <w:rsid w:val="00893D77"/>
    <w:rsid w:val="008976B3"/>
    <w:rsid w:val="008A42DB"/>
    <w:rsid w:val="008B3411"/>
    <w:rsid w:val="008B707A"/>
    <w:rsid w:val="008B7085"/>
    <w:rsid w:val="008C1CCD"/>
    <w:rsid w:val="008D2B2F"/>
    <w:rsid w:val="008E0C60"/>
    <w:rsid w:val="008E5992"/>
    <w:rsid w:val="008F2C85"/>
    <w:rsid w:val="008F44DB"/>
    <w:rsid w:val="008F72B2"/>
    <w:rsid w:val="00900436"/>
    <w:rsid w:val="00900DE6"/>
    <w:rsid w:val="009033E1"/>
    <w:rsid w:val="00903B92"/>
    <w:rsid w:val="00912EE9"/>
    <w:rsid w:val="00920415"/>
    <w:rsid w:val="00931A45"/>
    <w:rsid w:val="009332B2"/>
    <w:rsid w:val="00937F05"/>
    <w:rsid w:val="00946607"/>
    <w:rsid w:val="00952D1B"/>
    <w:rsid w:val="00960708"/>
    <w:rsid w:val="00965DD2"/>
    <w:rsid w:val="00981E44"/>
    <w:rsid w:val="00984826"/>
    <w:rsid w:val="0099447C"/>
    <w:rsid w:val="00994AD7"/>
    <w:rsid w:val="009959D4"/>
    <w:rsid w:val="009A5859"/>
    <w:rsid w:val="009A61B2"/>
    <w:rsid w:val="009B5BD3"/>
    <w:rsid w:val="009B6DCC"/>
    <w:rsid w:val="009B743C"/>
    <w:rsid w:val="009C168C"/>
    <w:rsid w:val="009C6171"/>
    <w:rsid w:val="009C72C4"/>
    <w:rsid w:val="009D4561"/>
    <w:rsid w:val="009D4932"/>
    <w:rsid w:val="009D573D"/>
    <w:rsid w:val="009E3023"/>
    <w:rsid w:val="009E3107"/>
    <w:rsid w:val="009E7221"/>
    <w:rsid w:val="009F7076"/>
    <w:rsid w:val="00A053A5"/>
    <w:rsid w:val="00A10993"/>
    <w:rsid w:val="00A1742B"/>
    <w:rsid w:val="00A20407"/>
    <w:rsid w:val="00A20F32"/>
    <w:rsid w:val="00A22A45"/>
    <w:rsid w:val="00A24541"/>
    <w:rsid w:val="00A26692"/>
    <w:rsid w:val="00A3476D"/>
    <w:rsid w:val="00A41A8E"/>
    <w:rsid w:val="00A457D3"/>
    <w:rsid w:val="00A500A9"/>
    <w:rsid w:val="00A617B1"/>
    <w:rsid w:val="00A627C5"/>
    <w:rsid w:val="00A67B12"/>
    <w:rsid w:val="00A77BF8"/>
    <w:rsid w:val="00A80925"/>
    <w:rsid w:val="00A869FD"/>
    <w:rsid w:val="00A9523E"/>
    <w:rsid w:val="00AA6574"/>
    <w:rsid w:val="00AA7A73"/>
    <w:rsid w:val="00AB3613"/>
    <w:rsid w:val="00AC09D5"/>
    <w:rsid w:val="00AC32A5"/>
    <w:rsid w:val="00AD6D8E"/>
    <w:rsid w:val="00AF2DF8"/>
    <w:rsid w:val="00B023D2"/>
    <w:rsid w:val="00B0250E"/>
    <w:rsid w:val="00B05906"/>
    <w:rsid w:val="00B154BC"/>
    <w:rsid w:val="00B25D27"/>
    <w:rsid w:val="00B46836"/>
    <w:rsid w:val="00B51BC0"/>
    <w:rsid w:val="00B52046"/>
    <w:rsid w:val="00B54064"/>
    <w:rsid w:val="00B65AF3"/>
    <w:rsid w:val="00B74676"/>
    <w:rsid w:val="00B763CD"/>
    <w:rsid w:val="00B76ECD"/>
    <w:rsid w:val="00B80F79"/>
    <w:rsid w:val="00B8700D"/>
    <w:rsid w:val="00BA0A77"/>
    <w:rsid w:val="00BA20C2"/>
    <w:rsid w:val="00BA7CD1"/>
    <w:rsid w:val="00BC2475"/>
    <w:rsid w:val="00BC3254"/>
    <w:rsid w:val="00BD2D35"/>
    <w:rsid w:val="00BD4589"/>
    <w:rsid w:val="00BE0DCD"/>
    <w:rsid w:val="00BE62BB"/>
    <w:rsid w:val="00BE77AF"/>
    <w:rsid w:val="00BF24F6"/>
    <w:rsid w:val="00BF272B"/>
    <w:rsid w:val="00BF4FAC"/>
    <w:rsid w:val="00BF789D"/>
    <w:rsid w:val="00C01880"/>
    <w:rsid w:val="00C05810"/>
    <w:rsid w:val="00C0612D"/>
    <w:rsid w:val="00C255CA"/>
    <w:rsid w:val="00C279D3"/>
    <w:rsid w:val="00C30CD2"/>
    <w:rsid w:val="00C61061"/>
    <w:rsid w:val="00C74469"/>
    <w:rsid w:val="00C7565F"/>
    <w:rsid w:val="00C77970"/>
    <w:rsid w:val="00C8161F"/>
    <w:rsid w:val="00C82BEF"/>
    <w:rsid w:val="00C906BE"/>
    <w:rsid w:val="00C95404"/>
    <w:rsid w:val="00CB01CA"/>
    <w:rsid w:val="00CB1160"/>
    <w:rsid w:val="00CC1705"/>
    <w:rsid w:val="00CC4794"/>
    <w:rsid w:val="00CC61D5"/>
    <w:rsid w:val="00CC7680"/>
    <w:rsid w:val="00CC7B35"/>
    <w:rsid w:val="00CE6EEE"/>
    <w:rsid w:val="00CF6BBE"/>
    <w:rsid w:val="00CF70BE"/>
    <w:rsid w:val="00D00C5B"/>
    <w:rsid w:val="00D1208F"/>
    <w:rsid w:val="00D14757"/>
    <w:rsid w:val="00D207FC"/>
    <w:rsid w:val="00D31A71"/>
    <w:rsid w:val="00D35E0E"/>
    <w:rsid w:val="00D5421B"/>
    <w:rsid w:val="00D71A6F"/>
    <w:rsid w:val="00D746B3"/>
    <w:rsid w:val="00D7488E"/>
    <w:rsid w:val="00D75697"/>
    <w:rsid w:val="00D82E8F"/>
    <w:rsid w:val="00D85BCF"/>
    <w:rsid w:val="00D92426"/>
    <w:rsid w:val="00D93A8A"/>
    <w:rsid w:val="00DB2860"/>
    <w:rsid w:val="00DB43AD"/>
    <w:rsid w:val="00DB5C53"/>
    <w:rsid w:val="00DB7625"/>
    <w:rsid w:val="00DC2166"/>
    <w:rsid w:val="00DC43C6"/>
    <w:rsid w:val="00DD0A1F"/>
    <w:rsid w:val="00DD1310"/>
    <w:rsid w:val="00DD16A3"/>
    <w:rsid w:val="00DD1BFF"/>
    <w:rsid w:val="00DD3622"/>
    <w:rsid w:val="00DD3D8E"/>
    <w:rsid w:val="00DE13CD"/>
    <w:rsid w:val="00DE4B73"/>
    <w:rsid w:val="00DE76EB"/>
    <w:rsid w:val="00DF69C7"/>
    <w:rsid w:val="00E06962"/>
    <w:rsid w:val="00E1655A"/>
    <w:rsid w:val="00E16DC0"/>
    <w:rsid w:val="00E23425"/>
    <w:rsid w:val="00E300A6"/>
    <w:rsid w:val="00E40198"/>
    <w:rsid w:val="00E44C06"/>
    <w:rsid w:val="00E46F79"/>
    <w:rsid w:val="00E57372"/>
    <w:rsid w:val="00E66B39"/>
    <w:rsid w:val="00E71DDC"/>
    <w:rsid w:val="00E71EA7"/>
    <w:rsid w:val="00E750A1"/>
    <w:rsid w:val="00E75909"/>
    <w:rsid w:val="00E8059E"/>
    <w:rsid w:val="00E93428"/>
    <w:rsid w:val="00E976FF"/>
    <w:rsid w:val="00EA1462"/>
    <w:rsid w:val="00EA240A"/>
    <w:rsid w:val="00EA25E2"/>
    <w:rsid w:val="00EA29AC"/>
    <w:rsid w:val="00EA4E88"/>
    <w:rsid w:val="00EB2D39"/>
    <w:rsid w:val="00EB6296"/>
    <w:rsid w:val="00EB6D0D"/>
    <w:rsid w:val="00ED1945"/>
    <w:rsid w:val="00ED5CBD"/>
    <w:rsid w:val="00EE43C6"/>
    <w:rsid w:val="00EE5BED"/>
    <w:rsid w:val="00EF27C4"/>
    <w:rsid w:val="00EF2B5F"/>
    <w:rsid w:val="00EF5E84"/>
    <w:rsid w:val="00F026F7"/>
    <w:rsid w:val="00F15F8A"/>
    <w:rsid w:val="00F40B70"/>
    <w:rsid w:val="00F41E0E"/>
    <w:rsid w:val="00F41F06"/>
    <w:rsid w:val="00F42BCB"/>
    <w:rsid w:val="00F46A4F"/>
    <w:rsid w:val="00F515B8"/>
    <w:rsid w:val="00F51CB1"/>
    <w:rsid w:val="00F54004"/>
    <w:rsid w:val="00F71C61"/>
    <w:rsid w:val="00F749DF"/>
    <w:rsid w:val="00FA2732"/>
    <w:rsid w:val="00FC08FD"/>
    <w:rsid w:val="00FE6617"/>
    <w:rsid w:val="00FF19AA"/>
    <w:rsid w:val="02B155C3"/>
    <w:rsid w:val="037F1698"/>
    <w:rsid w:val="045B5A55"/>
    <w:rsid w:val="054D16CE"/>
    <w:rsid w:val="06904959"/>
    <w:rsid w:val="07083D36"/>
    <w:rsid w:val="071A3800"/>
    <w:rsid w:val="07BE1610"/>
    <w:rsid w:val="086F6EE3"/>
    <w:rsid w:val="098D28DB"/>
    <w:rsid w:val="0A065886"/>
    <w:rsid w:val="0A192083"/>
    <w:rsid w:val="0A984028"/>
    <w:rsid w:val="0B413636"/>
    <w:rsid w:val="0CDD34EB"/>
    <w:rsid w:val="0DB02915"/>
    <w:rsid w:val="0DB35AFF"/>
    <w:rsid w:val="0E8C4A31"/>
    <w:rsid w:val="0EF820C6"/>
    <w:rsid w:val="0F307DF0"/>
    <w:rsid w:val="10932CA5"/>
    <w:rsid w:val="10AA2FC5"/>
    <w:rsid w:val="110D36A8"/>
    <w:rsid w:val="116110EB"/>
    <w:rsid w:val="11A26319"/>
    <w:rsid w:val="15AD7DA0"/>
    <w:rsid w:val="16016957"/>
    <w:rsid w:val="17014A1A"/>
    <w:rsid w:val="17240277"/>
    <w:rsid w:val="17557BA6"/>
    <w:rsid w:val="17B90067"/>
    <w:rsid w:val="17DF2E04"/>
    <w:rsid w:val="18251A52"/>
    <w:rsid w:val="185C3E1A"/>
    <w:rsid w:val="1863573C"/>
    <w:rsid w:val="1AEB4CD0"/>
    <w:rsid w:val="1B293D46"/>
    <w:rsid w:val="1C8A4FA2"/>
    <w:rsid w:val="1CCC3DB6"/>
    <w:rsid w:val="1D314B31"/>
    <w:rsid w:val="1D837D94"/>
    <w:rsid w:val="1DED4907"/>
    <w:rsid w:val="1EDB3343"/>
    <w:rsid w:val="1EDF0BDA"/>
    <w:rsid w:val="221A7241"/>
    <w:rsid w:val="226075DD"/>
    <w:rsid w:val="22876171"/>
    <w:rsid w:val="22AA06E1"/>
    <w:rsid w:val="22FB1D97"/>
    <w:rsid w:val="23007343"/>
    <w:rsid w:val="24EB530B"/>
    <w:rsid w:val="24F86524"/>
    <w:rsid w:val="24FD4228"/>
    <w:rsid w:val="276A7481"/>
    <w:rsid w:val="28247630"/>
    <w:rsid w:val="28264766"/>
    <w:rsid w:val="287F57DE"/>
    <w:rsid w:val="28B50C1B"/>
    <w:rsid w:val="293338C3"/>
    <w:rsid w:val="29BA03CE"/>
    <w:rsid w:val="2A1B4A63"/>
    <w:rsid w:val="2A5A6C6E"/>
    <w:rsid w:val="2AC423B6"/>
    <w:rsid w:val="2B3E1483"/>
    <w:rsid w:val="2BB4516F"/>
    <w:rsid w:val="2BCB543D"/>
    <w:rsid w:val="2BF0774B"/>
    <w:rsid w:val="2BF10C39"/>
    <w:rsid w:val="2C827CB0"/>
    <w:rsid w:val="2CC379ED"/>
    <w:rsid w:val="2D2D79E1"/>
    <w:rsid w:val="2DA21723"/>
    <w:rsid w:val="2DBF4BD3"/>
    <w:rsid w:val="2DFF37CB"/>
    <w:rsid w:val="2E913960"/>
    <w:rsid w:val="2EBB8D0C"/>
    <w:rsid w:val="2EC4391B"/>
    <w:rsid w:val="2F430793"/>
    <w:rsid w:val="2FAD089B"/>
    <w:rsid w:val="2FD38AD6"/>
    <w:rsid w:val="30165A02"/>
    <w:rsid w:val="30195ECA"/>
    <w:rsid w:val="301B57BD"/>
    <w:rsid w:val="3104042E"/>
    <w:rsid w:val="31F13E3D"/>
    <w:rsid w:val="331554F0"/>
    <w:rsid w:val="33D33A67"/>
    <w:rsid w:val="33ED5660"/>
    <w:rsid w:val="343B01DB"/>
    <w:rsid w:val="34825852"/>
    <w:rsid w:val="34D128EE"/>
    <w:rsid w:val="35C45BB6"/>
    <w:rsid w:val="35DE6BD3"/>
    <w:rsid w:val="35E76576"/>
    <w:rsid w:val="364558D8"/>
    <w:rsid w:val="36D36A96"/>
    <w:rsid w:val="37283EB1"/>
    <w:rsid w:val="377327F6"/>
    <w:rsid w:val="37D07412"/>
    <w:rsid w:val="37EFEED7"/>
    <w:rsid w:val="37FBF0AE"/>
    <w:rsid w:val="37FC9FF3"/>
    <w:rsid w:val="38CB1D20"/>
    <w:rsid w:val="38D24458"/>
    <w:rsid w:val="39307960"/>
    <w:rsid w:val="3AE137FB"/>
    <w:rsid w:val="3B8C02B9"/>
    <w:rsid w:val="3BD16EBE"/>
    <w:rsid w:val="3BEF7812"/>
    <w:rsid w:val="3C6B22FE"/>
    <w:rsid w:val="3D1141CF"/>
    <w:rsid w:val="3D1B01A4"/>
    <w:rsid w:val="3D4F4A6A"/>
    <w:rsid w:val="3DAC0817"/>
    <w:rsid w:val="3DBA04EB"/>
    <w:rsid w:val="3DDF4035"/>
    <w:rsid w:val="3E3A106C"/>
    <w:rsid w:val="3EA71B57"/>
    <w:rsid w:val="3EC12A23"/>
    <w:rsid w:val="3EDD340D"/>
    <w:rsid w:val="3F7F6CE4"/>
    <w:rsid w:val="3FF9B403"/>
    <w:rsid w:val="3FFB5828"/>
    <w:rsid w:val="3FFCCBCF"/>
    <w:rsid w:val="3FFF7E87"/>
    <w:rsid w:val="407A02DD"/>
    <w:rsid w:val="409D025C"/>
    <w:rsid w:val="416A63EB"/>
    <w:rsid w:val="431374E3"/>
    <w:rsid w:val="43355EB1"/>
    <w:rsid w:val="43D07BD6"/>
    <w:rsid w:val="447D039C"/>
    <w:rsid w:val="45044D3E"/>
    <w:rsid w:val="452A07AA"/>
    <w:rsid w:val="45874D2D"/>
    <w:rsid w:val="45CE7DB9"/>
    <w:rsid w:val="47947D65"/>
    <w:rsid w:val="48010CBF"/>
    <w:rsid w:val="484F681D"/>
    <w:rsid w:val="499A32E0"/>
    <w:rsid w:val="49B665D7"/>
    <w:rsid w:val="4A026268"/>
    <w:rsid w:val="4A14684C"/>
    <w:rsid w:val="4B3079F8"/>
    <w:rsid w:val="4B8C40F6"/>
    <w:rsid w:val="4BDB8282"/>
    <w:rsid w:val="4C7FB923"/>
    <w:rsid w:val="4C973236"/>
    <w:rsid w:val="4CCA3152"/>
    <w:rsid w:val="4D654CAB"/>
    <w:rsid w:val="4E30022D"/>
    <w:rsid w:val="4E661F86"/>
    <w:rsid w:val="4F1F277C"/>
    <w:rsid w:val="4F2064F4"/>
    <w:rsid w:val="4F2E0C11"/>
    <w:rsid w:val="4F905428"/>
    <w:rsid w:val="4FDB5363"/>
    <w:rsid w:val="4FF7FD99"/>
    <w:rsid w:val="50137E07"/>
    <w:rsid w:val="501E6ED7"/>
    <w:rsid w:val="51065010"/>
    <w:rsid w:val="52FEB541"/>
    <w:rsid w:val="552B6F2B"/>
    <w:rsid w:val="55905A2B"/>
    <w:rsid w:val="55A24CAC"/>
    <w:rsid w:val="56930974"/>
    <w:rsid w:val="56B3180B"/>
    <w:rsid w:val="56B35A9C"/>
    <w:rsid w:val="572823EA"/>
    <w:rsid w:val="57AC6B77"/>
    <w:rsid w:val="59162E41"/>
    <w:rsid w:val="59E32F09"/>
    <w:rsid w:val="5A636CCE"/>
    <w:rsid w:val="5AA24422"/>
    <w:rsid w:val="5B7E845D"/>
    <w:rsid w:val="5BFCF90A"/>
    <w:rsid w:val="5C465FD5"/>
    <w:rsid w:val="5CA93FCD"/>
    <w:rsid w:val="5CDD91F7"/>
    <w:rsid w:val="5D2F721C"/>
    <w:rsid w:val="5DA7432F"/>
    <w:rsid w:val="5E510478"/>
    <w:rsid w:val="5F670AC3"/>
    <w:rsid w:val="5FFD5BBF"/>
    <w:rsid w:val="60AF1486"/>
    <w:rsid w:val="60EE3AE6"/>
    <w:rsid w:val="61785D1C"/>
    <w:rsid w:val="61D73D21"/>
    <w:rsid w:val="623D6AE7"/>
    <w:rsid w:val="644072D2"/>
    <w:rsid w:val="64944C40"/>
    <w:rsid w:val="64F031D4"/>
    <w:rsid w:val="653A14A1"/>
    <w:rsid w:val="653D185E"/>
    <w:rsid w:val="65927D6F"/>
    <w:rsid w:val="659FB2D6"/>
    <w:rsid w:val="65ADC264"/>
    <w:rsid w:val="67BFBA37"/>
    <w:rsid w:val="68282ED8"/>
    <w:rsid w:val="699970EE"/>
    <w:rsid w:val="69D53935"/>
    <w:rsid w:val="6A4A0593"/>
    <w:rsid w:val="6ADF51B3"/>
    <w:rsid w:val="6B3D24B0"/>
    <w:rsid w:val="6BFDC9A0"/>
    <w:rsid w:val="6C372DB9"/>
    <w:rsid w:val="6C412528"/>
    <w:rsid w:val="6C564106"/>
    <w:rsid w:val="6D7F837C"/>
    <w:rsid w:val="6E6E637E"/>
    <w:rsid w:val="6E8A737E"/>
    <w:rsid w:val="6F12D202"/>
    <w:rsid w:val="6F1FDE2B"/>
    <w:rsid w:val="6F294DEC"/>
    <w:rsid w:val="6FB24D8D"/>
    <w:rsid w:val="6FEDDF49"/>
    <w:rsid w:val="6FFE7AC7"/>
    <w:rsid w:val="6FFF6398"/>
    <w:rsid w:val="702550AA"/>
    <w:rsid w:val="705148DB"/>
    <w:rsid w:val="70AB439F"/>
    <w:rsid w:val="71562E94"/>
    <w:rsid w:val="717F4C19"/>
    <w:rsid w:val="71B763EC"/>
    <w:rsid w:val="72115F36"/>
    <w:rsid w:val="73AF6C11"/>
    <w:rsid w:val="73D629A9"/>
    <w:rsid w:val="74524F2C"/>
    <w:rsid w:val="746F590F"/>
    <w:rsid w:val="74E05197"/>
    <w:rsid w:val="754C4C7E"/>
    <w:rsid w:val="755F2C9D"/>
    <w:rsid w:val="75BFEE0E"/>
    <w:rsid w:val="75C63F82"/>
    <w:rsid w:val="75DFDD19"/>
    <w:rsid w:val="75FC6B1A"/>
    <w:rsid w:val="75FF0EC1"/>
    <w:rsid w:val="764A1C6B"/>
    <w:rsid w:val="76644B03"/>
    <w:rsid w:val="76CE9A4F"/>
    <w:rsid w:val="76E27BAE"/>
    <w:rsid w:val="76FF9AEC"/>
    <w:rsid w:val="773504DF"/>
    <w:rsid w:val="776F6078"/>
    <w:rsid w:val="7774BD45"/>
    <w:rsid w:val="77C90D54"/>
    <w:rsid w:val="77CBCFAD"/>
    <w:rsid w:val="77DB0054"/>
    <w:rsid w:val="77DB5910"/>
    <w:rsid w:val="77F77926"/>
    <w:rsid w:val="77F77B7D"/>
    <w:rsid w:val="77FA4C8E"/>
    <w:rsid w:val="786FA005"/>
    <w:rsid w:val="78A53442"/>
    <w:rsid w:val="78BB07CC"/>
    <w:rsid w:val="7965E414"/>
    <w:rsid w:val="797DF10A"/>
    <w:rsid w:val="79987A14"/>
    <w:rsid w:val="79BD6312"/>
    <w:rsid w:val="7A563B36"/>
    <w:rsid w:val="7A5D3200"/>
    <w:rsid w:val="7AFF24AF"/>
    <w:rsid w:val="7B9640AC"/>
    <w:rsid w:val="7BCE4559"/>
    <w:rsid w:val="7BDB19E0"/>
    <w:rsid w:val="7BDF0D21"/>
    <w:rsid w:val="7CC1364F"/>
    <w:rsid w:val="7D240933"/>
    <w:rsid w:val="7D370CF3"/>
    <w:rsid w:val="7D4C5799"/>
    <w:rsid w:val="7D77F13A"/>
    <w:rsid w:val="7D835B1F"/>
    <w:rsid w:val="7DB7188F"/>
    <w:rsid w:val="7DC9727D"/>
    <w:rsid w:val="7DEB19E4"/>
    <w:rsid w:val="7DEF5C0B"/>
    <w:rsid w:val="7DFF1C51"/>
    <w:rsid w:val="7E3A6F12"/>
    <w:rsid w:val="7E3FDAE9"/>
    <w:rsid w:val="7E594B1B"/>
    <w:rsid w:val="7EDDC7A8"/>
    <w:rsid w:val="7EF75B6E"/>
    <w:rsid w:val="7EFBC7C1"/>
    <w:rsid w:val="7EFF4973"/>
    <w:rsid w:val="7EFF707B"/>
    <w:rsid w:val="7F3F33DD"/>
    <w:rsid w:val="7F7A5A9A"/>
    <w:rsid w:val="7F7FE5FB"/>
    <w:rsid w:val="7F8E32E7"/>
    <w:rsid w:val="7F9F9578"/>
    <w:rsid w:val="7FBFE6FA"/>
    <w:rsid w:val="7FC70C11"/>
    <w:rsid w:val="7FDB8320"/>
    <w:rsid w:val="7FDEC59D"/>
    <w:rsid w:val="7FE1504C"/>
    <w:rsid w:val="7FEA37D7"/>
    <w:rsid w:val="7FED5AC9"/>
    <w:rsid w:val="7FF21B57"/>
    <w:rsid w:val="7FF3A4AA"/>
    <w:rsid w:val="7FF3EAC5"/>
    <w:rsid w:val="7FFD3B47"/>
    <w:rsid w:val="865F54E7"/>
    <w:rsid w:val="939EEE27"/>
    <w:rsid w:val="97DF838A"/>
    <w:rsid w:val="9BE97F07"/>
    <w:rsid w:val="9FF6D0CF"/>
    <w:rsid w:val="AAB69F1D"/>
    <w:rsid w:val="AD948ED3"/>
    <w:rsid w:val="ADFA1761"/>
    <w:rsid w:val="B1FFD47D"/>
    <w:rsid w:val="B2653C23"/>
    <w:rsid w:val="B79D8D18"/>
    <w:rsid w:val="B7BEB9CD"/>
    <w:rsid w:val="B7D760DD"/>
    <w:rsid w:val="B7DEB119"/>
    <w:rsid w:val="B9B765BE"/>
    <w:rsid w:val="BBEA6D64"/>
    <w:rsid w:val="BCBD600E"/>
    <w:rsid w:val="BDF51AC2"/>
    <w:rsid w:val="BEF734DE"/>
    <w:rsid w:val="BFFDC4B8"/>
    <w:rsid w:val="BFFEEF03"/>
    <w:rsid w:val="C6C7F364"/>
    <w:rsid w:val="C732FA3A"/>
    <w:rsid w:val="CC0781E2"/>
    <w:rsid w:val="CFBF7B30"/>
    <w:rsid w:val="D57FD97A"/>
    <w:rsid w:val="DBB7FB3B"/>
    <w:rsid w:val="DBFFECAE"/>
    <w:rsid w:val="DD576CF0"/>
    <w:rsid w:val="DE382288"/>
    <w:rsid w:val="DF7FDA03"/>
    <w:rsid w:val="DF96FBB7"/>
    <w:rsid w:val="DFF8F58E"/>
    <w:rsid w:val="E2F0E27C"/>
    <w:rsid w:val="E3B4796F"/>
    <w:rsid w:val="E7DF1DA3"/>
    <w:rsid w:val="E7FFD552"/>
    <w:rsid w:val="EBA5CACA"/>
    <w:rsid w:val="EBD7503E"/>
    <w:rsid w:val="EF2FE358"/>
    <w:rsid w:val="EF577700"/>
    <w:rsid w:val="EFBDCA3A"/>
    <w:rsid w:val="EFDDF0C1"/>
    <w:rsid w:val="EFDE3556"/>
    <w:rsid w:val="EFECA09C"/>
    <w:rsid w:val="F1FD7D32"/>
    <w:rsid w:val="F261A6FF"/>
    <w:rsid w:val="F36F75BE"/>
    <w:rsid w:val="F373B9F0"/>
    <w:rsid w:val="F3E782F3"/>
    <w:rsid w:val="F3FDAC11"/>
    <w:rsid w:val="F3FE4DF5"/>
    <w:rsid w:val="F5B4EE43"/>
    <w:rsid w:val="F5E3A169"/>
    <w:rsid w:val="F6DEA155"/>
    <w:rsid w:val="F7FE6C1F"/>
    <w:rsid w:val="F7FF13FE"/>
    <w:rsid w:val="F8BFA463"/>
    <w:rsid w:val="F8DA05BF"/>
    <w:rsid w:val="F8ED4BB4"/>
    <w:rsid w:val="FAF21812"/>
    <w:rsid w:val="FC7EB658"/>
    <w:rsid w:val="FCC721C1"/>
    <w:rsid w:val="FCF4382A"/>
    <w:rsid w:val="FDB369DC"/>
    <w:rsid w:val="FDB58D96"/>
    <w:rsid w:val="FE3F621A"/>
    <w:rsid w:val="FE5F11AB"/>
    <w:rsid w:val="FE67C455"/>
    <w:rsid w:val="FE7F36F1"/>
    <w:rsid w:val="FEFEC108"/>
    <w:rsid w:val="FEFF4C07"/>
    <w:rsid w:val="FF37D8F1"/>
    <w:rsid w:val="FFAFF1FA"/>
    <w:rsid w:val="FFB78D28"/>
    <w:rsid w:val="FFBF59E6"/>
    <w:rsid w:val="FFCB6742"/>
    <w:rsid w:val="FFCD2D11"/>
    <w:rsid w:val="FFDF13B4"/>
    <w:rsid w:val="FFF762F7"/>
    <w:rsid w:val="FFFA6FE7"/>
    <w:rsid w:val="FFFA7F1E"/>
    <w:rsid w:val="FFFF847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9"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00" w:firstLineChars="200"/>
      <w:jc w:val="both"/>
    </w:pPr>
    <w:rPr>
      <w:rFonts w:ascii="仿宋_GB2312" w:hAnsi="仿宋_GB2312" w:eastAsia="仿宋_GB2312" w:cs="仿宋_GB2312"/>
      <w:color w:val="000000"/>
      <w:kern w:val="2"/>
      <w:sz w:val="32"/>
      <w:szCs w:val="32"/>
      <w:lang w:val="en-US" w:eastAsia="zh-CN" w:bidi="ar-SA"/>
    </w:rPr>
  </w:style>
  <w:style w:type="paragraph" w:styleId="3">
    <w:name w:val="heading 1"/>
    <w:basedOn w:val="1"/>
    <w:next w:val="1"/>
    <w:qFormat/>
    <w:uiPriority w:val="0"/>
    <w:pPr>
      <w:keepNext/>
      <w:keepLines/>
      <w:jc w:val="left"/>
      <w:outlineLvl w:val="0"/>
    </w:pPr>
    <w:rPr>
      <w:rFonts w:ascii="Calibri" w:hAnsi="Calibri" w:eastAsia="黑体" w:cstheme="minorBidi"/>
      <w:color w:val="000000" w:themeColor="text1"/>
      <w:kern w:val="44"/>
      <w14:textFill>
        <w14:solidFill>
          <w14:schemeClr w14:val="tx1"/>
        </w14:solidFill>
      </w14:textFill>
    </w:rPr>
  </w:style>
  <w:style w:type="paragraph" w:styleId="4">
    <w:name w:val="heading 2"/>
    <w:basedOn w:val="1"/>
    <w:next w:val="1"/>
    <w:link w:val="17"/>
    <w:unhideWhenUsed/>
    <w:qFormat/>
    <w:uiPriority w:val="0"/>
    <w:pPr>
      <w:keepNext/>
      <w:keepLines/>
      <w:jc w:val="left"/>
      <w:outlineLvl w:val="1"/>
    </w:pPr>
    <w:rPr>
      <w:rFonts w:eastAsia="楷体" w:asciiTheme="majorHAnsi" w:hAnsiTheme="majorHAnsi" w:cstheme="majorBidi"/>
      <w:bCs/>
      <w:color w:val="000000" w:themeColor="text1"/>
      <w14:textFill>
        <w14:solidFill>
          <w14:schemeClr w14:val="tx1"/>
        </w14:solidFill>
      </w14:textFill>
    </w:rPr>
  </w:style>
  <w:style w:type="paragraph" w:styleId="5">
    <w:name w:val="heading 3"/>
    <w:basedOn w:val="1"/>
    <w:next w:val="1"/>
    <w:link w:val="16"/>
    <w:unhideWhenUsed/>
    <w:qFormat/>
    <w:uiPriority w:val="0"/>
    <w:pPr>
      <w:keepNext/>
      <w:keepLines/>
      <w:spacing w:before="260" w:after="260" w:line="416" w:lineRule="auto"/>
      <w:outlineLvl w:val="2"/>
    </w:pPr>
    <w:rPr>
      <w:bCs/>
    </w:rPr>
  </w:style>
  <w:style w:type="paragraph" w:styleId="6">
    <w:name w:val="heading 4"/>
    <w:basedOn w:val="1"/>
    <w:next w:val="1"/>
    <w:qFormat/>
    <w:uiPriority w:val="9"/>
    <w:pPr>
      <w:keepNext/>
      <w:keepLines/>
      <w:spacing w:before="280" w:after="290" w:line="376" w:lineRule="atLeast"/>
      <w:outlineLvl w:val="3"/>
    </w:pPr>
    <w:rPr>
      <w:rFonts w:ascii="Calibri Light" w:hAnsi="Calibri Light" w:eastAsia="宋体" w:cs="宋体"/>
      <w:b/>
      <w:bCs/>
      <w:sz w:val="28"/>
      <w:szCs w:val="28"/>
    </w:rPr>
  </w:style>
  <w:style w:type="paragraph" w:styleId="7">
    <w:name w:val="heading 5"/>
    <w:basedOn w:val="1"/>
    <w:next w:val="1"/>
    <w:link w:val="20"/>
    <w:unhideWhenUsed/>
    <w:qFormat/>
    <w:uiPriority w:val="0"/>
    <w:pPr>
      <w:keepNext/>
      <w:keepLines/>
      <w:spacing w:before="280" w:after="290" w:line="376" w:lineRule="atLeast"/>
      <w:outlineLvl w:val="4"/>
    </w:pPr>
    <w:rPr>
      <w:b/>
      <w:bCs/>
      <w:sz w:val="28"/>
      <w:szCs w:val="28"/>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8">
    <w:name w:val="annotation text"/>
    <w:basedOn w:val="1"/>
    <w:qFormat/>
    <w:uiPriority w:val="0"/>
    <w:pPr>
      <w:jc w:val="left"/>
    </w:pPr>
  </w:style>
  <w:style w:type="paragraph" w:styleId="9">
    <w:name w:val="Balloon Text"/>
    <w:basedOn w:val="1"/>
    <w:link w:val="24"/>
    <w:qFormat/>
    <w:uiPriority w:val="0"/>
    <w:pPr>
      <w:spacing w:line="240" w:lineRule="auto"/>
    </w:pPr>
    <w:rPr>
      <w:sz w:val="18"/>
      <w:szCs w:val="18"/>
    </w:rPr>
  </w:style>
  <w:style w:type="paragraph" w:styleId="10">
    <w:name w:val="footer"/>
    <w:basedOn w:val="1"/>
    <w:link w:val="19"/>
    <w:qFormat/>
    <w:uiPriority w:val="0"/>
    <w:pPr>
      <w:tabs>
        <w:tab w:val="center" w:pos="4153"/>
        <w:tab w:val="right" w:pos="8306"/>
      </w:tabs>
      <w:snapToGrid w:val="0"/>
      <w:spacing w:line="240" w:lineRule="atLeast"/>
      <w:jc w:val="left"/>
    </w:pPr>
    <w:rPr>
      <w:sz w:val="18"/>
      <w:szCs w:val="18"/>
    </w:rPr>
  </w:style>
  <w:style w:type="paragraph" w:styleId="11">
    <w:name w:val="header"/>
    <w:basedOn w:val="1"/>
    <w:link w:val="18"/>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12">
    <w:name w:val="Normal (Web)"/>
    <w:basedOn w:val="1"/>
    <w:qFormat/>
    <w:uiPriority w:val="0"/>
    <w:pPr>
      <w:spacing w:beforeAutospacing="1" w:afterAutospacing="1"/>
      <w:jc w:val="left"/>
    </w:pPr>
    <w:rPr>
      <w:rFonts w:cs="Times New Roman"/>
      <w:kern w:val="0"/>
      <w:sz w:val="24"/>
    </w:rPr>
  </w:style>
  <w:style w:type="character" w:styleId="15">
    <w:name w:val="Strong"/>
    <w:basedOn w:val="14"/>
    <w:qFormat/>
    <w:uiPriority w:val="0"/>
    <w:rPr>
      <w:b/>
      <w:bCs/>
    </w:rPr>
  </w:style>
  <w:style w:type="character" w:customStyle="1" w:styleId="16">
    <w:name w:val="标题 3 Char"/>
    <w:basedOn w:val="14"/>
    <w:link w:val="5"/>
    <w:qFormat/>
    <w:uiPriority w:val="9"/>
    <w:rPr>
      <w:rFonts w:eastAsia="仿宋_GB2312" w:asciiTheme="minorHAnsi" w:hAnsiTheme="minorHAnsi"/>
      <w:bCs/>
      <w:sz w:val="32"/>
      <w:szCs w:val="32"/>
    </w:rPr>
  </w:style>
  <w:style w:type="character" w:customStyle="1" w:styleId="17">
    <w:name w:val="标题 2 Char"/>
    <w:basedOn w:val="14"/>
    <w:link w:val="4"/>
    <w:qFormat/>
    <w:uiPriority w:val="1"/>
    <w:rPr>
      <w:rFonts w:eastAsia="楷体" w:asciiTheme="majorHAnsi" w:hAnsiTheme="majorHAnsi" w:cstheme="majorBidi"/>
      <w:bCs/>
      <w:color w:val="000000" w:themeColor="text1"/>
      <w:sz w:val="32"/>
      <w:szCs w:val="32"/>
      <w14:textFill>
        <w14:solidFill>
          <w14:schemeClr w14:val="tx1"/>
        </w14:solidFill>
      </w14:textFill>
    </w:rPr>
  </w:style>
  <w:style w:type="character" w:customStyle="1" w:styleId="18">
    <w:name w:val="页眉 Char"/>
    <w:basedOn w:val="14"/>
    <w:link w:val="11"/>
    <w:qFormat/>
    <w:uiPriority w:val="0"/>
    <w:rPr>
      <w:rFonts w:ascii="仿宋_GB2312" w:hAnsi="仿宋_GB2312" w:eastAsia="仿宋_GB2312" w:cs="仿宋_GB2312"/>
      <w:color w:val="000000"/>
      <w:kern w:val="2"/>
      <w:sz w:val="18"/>
      <w:szCs w:val="18"/>
    </w:rPr>
  </w:style>
  <w:style w:type="character" w:customStyle="1" w:styleId="19">
    <w:name w:val="页脚 Char"/>
    <w:basedOn w:val="14"/>
    <w:link w:val="10"/>
    <w:qFormat/>
    <w:uiPriority w:val="0"/>
    <w:rPr>
      <w:rFonts w:ascii="仿宋_GB2312" w:hAnsi="仿宋_GB2312" w:eastAsia="仿宋_GB2312" w:cs="仿宋_GB2312"/>
      <w:color w:val="000000"/>
      <w:kern w:val="2"/>
      <w:sz w:val="18"/>
      <w:szCs w:val="18"/>
    </w:rPr>
  </w:style>
  <w:style w:type="character" w:customStyle="1" w:styleId="20">
    <w:name w:val="标题 5 Char"/>
    <w:basedOn w:val="14"/>
    <w:link w:val="7"/>
    <w:qFormat/>
    <w:uiPriority w:val="0"/>
    <w:rPr>
      <w:rFonts w:ascii="仿宋_GB2312" w:hAnsi="仿宋_GB2312" w:eastAsia="仿宋_GB2312" w:cs="仿宋_GB2312"/>
      <w:b/>
      <w:bCs/>
      <w:color w:val="000000"/>
      <w:kern w:val="2"/>
      <w:sz w:val="28"/>
      <w:szCs w:val="28"/>
    </w:rPr>
  </w:style>
  <w:style w:type="paragraph" w:styleId="21">
    <w:name w:val="List Paragraph"/>
    <w:basedOn w:val="1"/>
    <w:qFormat/>
    <w:uiPriority w:val="99"/>
    <w:pPr>
      <w:ind w:firstLine="420"/>
    </w:pPr>
  </w:style>
  <w:style w:type="paragraph" w:customStyle="1" w:styleId="22">
    <w:name w:val="修订1"/>
    <w:hidden/>
    <w:semiHidden/>
    <w:qFormat/>
    <w:uiPriority w:val="99"/>
    <w:rPr>
      <w:rFonts w:ascii="仿宋_GB2312" w:hAnsi="仿宋_GB2312" w:eastAsia="仿宋_GB2312" w:cs="仿宋_GB2312"/>
      <w:color w:val="000000"/>
      <w:kern w:val="2"/>
      <w:sz w:val="32"/>
      <w:szCs w:val="32"/>
      <w:lang w:val="en-US" w:eastAsia="zh-CN" w:bidi="ar-SA"/>
    </w:rPr>
  </w:style>
  <w:style w:type="character" w:customStyle="1" w:styleId="23">
    <w:name w:val="fontstyle21"/>
    <w:basedOn w:val="14"/>
    <w:qFormat/>
    <w:uiPriority w:val="0"/>
    <w:rPr>
      <w:rFonts w:ascii="FZFSK--GBK1-0" w:hAnsi="FZFSK--GBK1-0" w:eastAsia="FZFSK--GBK1-0" w:cs="FZFSK--GBK1-0"/>
      <w:color w:val="000000"/>
      <w:sz w:val="32"/>
      <w:szCs w:val="32"/>
    </w:rPr>
  </w:style>
  <w:style w:type="character" w:customStyle="1" w:styleId="24">
    <w:name w:val="批注框文本 Char"/>
    <w:basedOn w:val="14"/>
    <w:link w:val="9"/>
    <w:qFormat/>
    <w:uiPriority w:val="0"/>
    <w:rPr>
      <w:rFonts w:ascii="仿宋_GB2312" w:hAnsi="仿宋_GB2312" w:eastAsia="仿宋_GB2312" w:cs="仿宋_GB2312"/>
      <w:color w:val="000000"/>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5352</Words>
  <Characters>5435</Characters>
  <Lines>38</Lines>
  <Paragraphs>10</Paragraphs>
  <TotalTime>0</TotalTime>
  <ScaleCrop>false</ScaleCrop>
  <LinksUpToDate>false</LinksUpToDate>
  <CharactersWithSpaces>5490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2022-03-01T09:40:00Z</dcterms:created>
  <dc:creator>rentao</dc:creator>
  <cp:lastModifiedBy>Le Pu</cp:lastModifiedBy>
  <cp:lastPrinted>2023-08-09T06:46:00Z</cp:lastPrinted>
  <dcterms:modified xsi:type="dcterms:W3CDTF">2023-08-15T08:31:14Z</dcterms:modified>
  <cp:revision>453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4B4078D97B5B4FE89D3E3A8ABE24E16D_13</vt:lpwstr>
  </property>
</Properties>
</file>