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黑体" w:eastAsia="方正小标宋简体"/>
          <w:sz w:val="44"/>
          <w:szCs w:val="44"/>
          <w:lang w:eastAsia="zh-CN"/>
        </w:rPr>
      </w:pPr>
      <w:r>
        <w:rPr>
          <w:rFonts w:hint="eastAsia" w:ascii="方正小标宋简体" w:hAnsi="黑体" w:eastAsia="方正小标宋简体"/>
          <w:sz w:val="44"/>
          <w:szCs w:val="44"/>
          <w:lang w:eastAsia="zh-CN"/>
        </w:rPr>
        <w:t>《北京经济技术开发区住所“零材料”改革工作方案（试行）（</w:t>
      </w:r>
      <w:r>
        <w:rPr>
          <w:rFonts w:hint="eastAsia" w:ascii="方正小标宋简体" w:hAnsi="黑体" w:eastAsia="方正小标宋简体"/>
          <w:sz w:val="44"/>
          <w:szCs w:val="44"/>
          <w:lang w:val="en-US" w:eastAsia="zh-CN"/>
        </w:rPr>
        <w:t>征求意见稿</w:t>
      </w:r>
      <w:r>
        <w:rPr>
          <w:rFonts w:hint="eastAsia" w:ascii="方正小标宋简体" w:hAnsi="黑体" w:eastAsia="方正小标宋简体"/>
          <w:sz w:val="44"/>
          <w:szCs w:val="44"/>
          <w:lang w:eastAsia="zh-CN"/>
        </w:rPr>
        <w:t>）》的起草说明</w:t>
      </w:r>
    </w:p>
    <w:p>
      <w:pPr>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6"/>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为进一步优化营商环境，降低市场主体制度性交易成本，结合北京经济技术开发区（以下简称“经开区”）实际，</w:t>
      </w:r>
      <w:r>
        <w:rPr>
          <w:rFonts w:hint="eastAsia" w:ascii="仿宋_GB2312" w:eastAsia="仿宋_GB2312"/>
          <w:sz w:val="32"/>
          <w:szCs w:val="32"/>
          <w:lang w:val="en-US" w:eastAsia="zh-CN"/>
        </w:rPr>
        <w:t>制定了</w:t>
      </w:r>
      <w:r>
        <w:rPr>
          <w:rFonts w:hint="eastAsia" w:ascii="仿宋_GB2312" w:eastAsia="仿宋_GB2312"/>
          <w:sz w:val="32"/>
          <w:szCs w:val="32"/>
        </w:rPr>
        <w:t>《北京经济技术开发区住所“零材料”改革工作方案（试行）（征求意见稿）》</w:t>
      </w:r>
      <w:r>
        <w:rPr>
          <w:rFonts w:hint="eastAsia" w:ascii="仿宋_GB2312" w:eastAsia="仿宋_GB2312"/>
          <w:sz w:val="32"/>
          <w:szCs w:val="32"/>
          <w:lang w:eastAsia="zh-CN"/>
        </w:rPr>
        <w:t>（以下简称《</w:t>
      </w:r>
      <w:r>
        <w:rPr>
          <w:rFonts w:hint="eastAsia" w:ascii="仿宋_GB2312" w:eastAsia="仿宋_GB2312"/>
          <w:sz w:val="32"/>
          <w:szCs w:val="32"/>
          <w:lang w:val="en-US" w:eastAsia="zh-CN"/>
        </w:rPr>
        <w:t>工作</w:t>
      </w:r>
      <w:r>
        <w:rPr>
          <w:rFonts w:hint="eastAsia" w:ascii="仿宋_GB2312" w:eastAsia="仿宋_GB2312"/>
          <w:sz w:val="32"/>
          <w:szCs w:val="32"/>
          <w:lang w:eastAsia="zh-CN"/>
        </w:rPr>
        <w:t>方案》）</w:t>
      </w:r>
      <w:r>
        <w:rPr>
          <w:rFonts w:hint="eastAsia" w:ascii="仿宋_GB2312" w:eastAsia="仿宋_GB2312"/>
          <w:sz w:val="32"/>
          <w:szCs w:val="32"/>
        </w:rPr>
        <w:t>，现将有关情况</w:t>
      </w:r>
      <w:r>
        <w:rPr>
          <w:rFonts w:hint="eastAsia" w:ascii="仿宋_GB2312" w:eastAsia="仿宋_GB2312"/>
          <w:sz w:val="32"/>
          <w:szCs w:val="32"/>
          <w:lang w:eastAsia="zh-CN"/>
        </w:rPr>
        <w:t>说明</w:t>
      </w:r>
      <w:r>
        <w:rPr>
          <w:rFonts w:hint="eastAsia" w:ascii="仿宋_GB2312" w:eastAsia="仿宋_GB2312"/>
          <w:sz w:val="32"/>
          <w:szCs w:val="32"/>
        </w:rPr>
        <w:t>如下：</w:t>
      </w:r>
    </w:p>
    <w:p>
      <w:pPr>
        <w:pStyle w:val="6"/>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w:t>
      </w:r>
      <w:r>
        <w:rPr>
          <w:rFonts w:hint="eastAsia" w:ascii="黑体" w:hAnsi="黑体" w:eastAsia="黑体" w:cs="黑体"/>
          <w:sz w:val="32"/>
          <w:szCs w:val="32"/>
        </w:rPr>
        <w:t>、</w:t>
      </w:r>
      <w:r>
        <w:rPr>
          <w:rFonts w:hint="eastAsia" w:ascii="黑体" w:hAnsi="黑体" w:eastAsia="黑体" w:cs="黑体"/>
          <w:sz w:val="32"/>
          <w:szCs w:val="32"/>
          <w:lang w:eastAsia="zh-CN"/>
        </w:rPr>
        <w:t>制定背景及依据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为贯彻落实《中共中央 国务院关于加快建设全国统一大市场的意见》《北京市市场监督管理局关于印发进一步优化营商环境降低市场主体制度性交易成本工作方案的通知》要求，更大程度推动住所信息标准化、获得便利化、材料精简化、管理规范化。通过开展住所“零材料”改革，持续优化营商环境和深化“放管服”改革，营造宽松便捷、规范有序、多元共治的市场准入准营环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二、主要内容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lang w:eastAsia="zh-CN"/>
        </w:rPr>
        <w:t>方案</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4大部分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项。对</w:t>
      </w:r>
      <w:r>
        <w:rPr>
          <w:rFonts w:hint="eastAsia" w:ascii="仿宋_GB2312" w:hAnsi="仿宋_GB2312" w:eastAsia="仿宋_GB2312" w:cs="仿宋_GB2312"/>
          <w:sz w:val="32"/>
          <w:szCs w:val="32"/>
          <w:lang w:val="en-US" w:eastAsia="zh-CN"/>
        </w:rPr>
        <w:t>住所“零材料”</w:t>
      </w:r>
      <w:r>
        <w:rPr>
          <w:rFonts w:hint="eastAsia" w:ascii="仿宋_GB2312" w:hAnsi="仿宋_GB2312" w:eastAsia="仿宋_GB2312" w:cs="仿宋_GB2312"/>
          <w:sz w:val="32"/>
          <w:szCs w:val="32"/>
        </w:rPr>
        <w:t>的目</w:t>
      </w:r>
      <w:r>
        <w:rPr>
          <w:rFonts w:hint="eastAsia" w:ascii="仿宋_GB2312" w:hAnsi="仿宋_GB2312" w:eastAsia="仿宋_GB2312" w:cs="仿宋_GB2312"/>
          <w:sz w:val="32"/>
          <w:szCs w:val="32"/>
          <w:lang w:eastAsia="zh-CN"/>
        </w:rPr>
        <w:t>标</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实施范围</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重点任务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保障措施</w:t>
      </w:r>
      <w:r>
        <w:rPr>
          <w:rFonts w:hint="eastAsia" w:ascii="仿宋_GB2312" w:hAnsi="仿宋_GB2312" w:eastAsia="仿宋_GB2312" w:cs="仿宋_GB2312"/>
          <w:sz w:val="32"/>
          <w:szCs w:val="32"/>
        </w:rPr>
        <w:t>进行了规范，明确了</w:t>
      </w:r>
      <w:r>
        <w:rPr>
          <w:rFonts w:hint="eastAsia" w:ascii="仿宋_GB2312" w:hAnsi="仿宋_GB2312" w:eastAsia="仿宋_GB2312" w:cs="仿宋_GB2312"/>
          <w:sz w:val="32"/>
          <w:szCs w:val="32"/>
          <w:lang w:val="en-US" w:eastAsia="zh-CN"/>
        </w:rPr>
        <w:t>首批纳入住所“零材料”</w:t>
      </w:r>
      <w:r>
        <w:rPr>
          <w:rFonts w:hint="eastAsia" w:ascii="仿宋_GB2312" w:hAnsi="仿宋_GB2312" w:eastAsia="仿宋_GB2312" w:cs="仿宋_GB2312"/>
          <w:sz w:val="32"/>
          <w:szCs w:val="32"/>
          <w:lang w:eastAsia="zh-CN"/>
        </w:rPr>
        <w:t>改革事项清单</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eastAsia="zh-CN"/>
        </w:rPr>
        <w:t>（</w:t>
      </w:r>
      <w:r>
        <w:rPr>
          <w:rFonts w:hint="eastAsia" w:ascii="楷体_GB2312" w:hAnsi="楷体_GB2312" w:eastAsia="楷体_GB2312" w:cs="楷体_GB2312"/>
          <w:b w:val="0"/>
          <w:bCs w:val="0"/>
          <w:color w:val="auto"/>
          <w:sz w:val="32"/>
          <w:szCs w:val="32"/>
          <w:lang w:val="en-US" w:eastAsia="zh-CN"/>
        </w:rPr>
        <w:t>一</w:t>
      </w:r>
      <w:r>
        <w:rPr>
          <w:rFonts w:hint="eastAsia" w:ascii="楷体_GB2312" w:hAnsi="楷体_GB2312" w:eastAsia="楷体_GB2312" w:cs="楷体_GB2312"/>
          <w:b w:val="0"/>
          <w:bCs w:val="0"/>
          <w:color w:val="auto"/>
          <w:sz w:val="32"/>
          <w:szCs w:val="32"/>
          <w:lang w:eastAsia="zh-CN"/>
        </w:rPr>
        <w:t>）</w:t>
      </w:r>
      <w:r>
        <w:rPr>
          <w:rFonts w:hint="eastAsia" w:ascii="楷体_GB2312" w:hAnsi="楷体_GB2312" w:eastAsia="楷体_GB2312" w:cs="楷体_GB2312"/>
          <w:b w:val="0"/>
          <w:bCs w:val="0"/>
          <w:color w:val="auto"/>
          <w:sz w:val="32"/>
          <w:szCs w:val="32"/>
          <w:lang w:val="en-US" w:eastAsia="zh-CN"/>
        </w:rPr>
        <w:t>定义</w:t>
      </w:r>
    </w:p>
    <w:p>
      <w:pPr>
        <w:pStyle w:val="4"/>
        <w:keepNext w:val="0"/>
        <w:keepLines w:val="0"/>
        <w:pageBreakBefore w:val="0"/>
        <w:widowControl w:val="0"/>
        <w:kinsoku/>
        <w:wordWrap/>
        <w:overflowPunct/>
        <w:topLinePunct w:val="0"/>
        <w:autoSpaceDE/>
        <w:autoSpaceDN/>
        <w:bidi w:val="0"/>
        <w:spacing w:line="560" w:lineRule="exact"/>
        <w:ind w:firstLine="640"/>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bCs/>
          <w:color w:val="auto"/>
          <w:sz w:val="32"/>
          <w:szCs w:val="32"/>
        </w:rPr>
        <w:t>住所“零材料”改革</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是指通过与产权人（管理人）共治，推动地址数据汇聚和核验，精简办事材料，市场主体在办理登记注册和其他许可备案事项时，实现不动产权证书（房屋所有权证）、租赁合同、方位图（位置图）等各类住所或经营场所证明文件免于提交。</w:t>
      </w:r>
    </w:p>
    <w:p>
      <w:pPr>
        <w:pStyle w:val="4"/>
        <w:keepNext w:val="0"/>
        <w:keepLines w:val="0"/>
        <w:pageBreakBefore w:val="0"/>
        <w:widowControl w:val="0"/>
        <w:kinsoku/>
        <w:wordWrap/>
        <w:overflowPunct/>
        <w:topLinePunct w:val="0"/>
        <w:autoSpaceDE/>
        <w:autoSpaceDN/>
        <w:bidi w:val="0"/>
        <w:spacing w:line="560" w:lineRule="exact"/>
        <w:ind w:firstLine="640"/>
        <w:textAlignment w:val="auto"/>
        <w:rPr>
          <w:rFonts w:hint="default" w:ascii="楷体_GB2312" w:hAnsi="楷体_GB2312" w:eastAsia="楷体_GB2312" w:cs="楷体_GB2312"/>
          <w:lang w:val="en-US" w:eastAsia="zh-CN"/>
        </w:rPr>
      </w:pPr>
      <w:r>
        <w:rPr>
          <w:rFonts w:hint="eastAsia" w:ascii="楷体_GB2312" w:hAnsi="楷体_GB2312" w:eastAsia="楷体_GB2312" w:cs="楷体_GB2312"/>
        </w:rPr>
        <w:t>（</w:t>
      </w:r>
      <w:r>
        <w:rPr>
          <w:rFonts w:hint="eastAsia" w:ascii="楷体_GB2312" w:hAnsi="楷体_GB2312" w:eastAsia="楷体_GB2312" w:cs="楷体_GB2312"/>
          <w:lang w:val="en-US" w:eastAsia="zh-CN"/>
        </w:rPr>
        <w:t>二</w:t>
      </w:r>
      <w:r>
        <w:rPr>
          <w:rFonts w:hint="eastAsia" w:ascii="楷体_GB2312" w:hAnsi="楷体_GB2312" w:eastAsia="楷体_GB2312" w:cs="楷体_GB2312"/>
        </w:rPr>
        <w:t>）</w:t>
      </w:r>
      <w:r>
        <w:rPr>
          <w:rFonts w:hint="eastAsia" w:ascii="楷体_GB2312" w:hAnsi="楷体_GB2312" w:eastAsia="楷体_GB2312" w:cs="楷体_GB2312"/>
          <w:lang w:val="en-US" w:eastAsia="zh-CN"/>
        </w:rPr>
        <w:t>目的和意义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000000"/>
          <w:sz w:val="32"/>
          <w:szCs w:val="32"/>
          <w:highlight w:val="none"/>
          <w:lang w:val="en-US" w:eastAsia="zh-CN"/>
        </w:rPr>
      </w:pPr>
      <w:r>
        <w:rPr>
          <w:rFonts w:hint="eastAsia" w:ascii="仿宋_GB2312" w:hAnsi="仿宋_GB2312" w:eastAsia="仿宋_GB2312" w:cs="仿宋_GB2312"/>
          <w:b/>
          <w:bCs/>
          <w:color w:val="000000"/>
          <w:sz w:val="32"/>
          <w:szCs w:val="32"/>
          <w:highlight w:val="none"/>
          <w:lang w:val="en-US" w:eastAsia="zh-CN"/>
        </w:rPr>
        <w:t>一是</w:t>
      </w:r>
      <w:r>
        <w:rPr>
          <w:rFonts w:hint="eastAsia" w:ascii="仿宋_GB2312" w:hAnsi="仿宋_GB2312" w:eastAsia="仿宋_GB2312" w:cs="仿宋_GB2312"/>
          <w:b w:val="0"/>
          <w:bCs w:val="0"/>
          <w:color w:val="000000"/>
          <w:sz w:val="32"/>
          <w:szCs w:val="32"/>
          <w:highlight w:val="none"/>
          <w:lang w:val="en-US" w:eastAsia="zh-CN"/>
        </w:rPr>
        <w:t>推动住所证明材料免于提交，降低市场主体办事和交易成本。</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000000"/>
          <w:sz w:val="32"/>
          <w:szCs w:val="32"/>
          <w:highlight w:val="none"/>
          <w:lang w:val="en-US" w:eastAsia="zh-CN"/>
        </w:rPr>
      </w:pPr>
      <w:r>
        <w:rPr>
          <w:rFonts w:hint="eastAsia" w:ascii="仿宋_GB2312" w:hAnsi="仿宋_GB2312" w:eastAsia="仿宋_GB2312" w:cs="仿宋_GB2312"/>
          <w:b/>
          <w:bCs/>
          <w:color w:val="000000"/>
          <w:sz w:val="32"/>
          <w:szCs w:val="32"/>
          <w:highlight w:val="none"/>
          <w:lang w:val="en-US" w:eastAsia="zh-CN"/>
        </w:rPr>
        <w:t>二是</w:t>
      </w:r>
      <w:r>
        <w:rPr>
          <w:rFonts w:hint="eastAsia" w:ascii="仿宋_GB2312" w:hAnsi="仿宋_GB2312" w:eastAsia="仿宋_GB2312" w:cs="仿宋_GB2312"/>
          <w:b w:val="0"/>
          <w:bCs w:val="0"/>
          <w:color w:val="000000"/>
          <w:sz w:val="32"/>
          <w:szCs w:val="32"/>
          <w:highlight w:val="none"/>
          <w:lang w:val="en-US" w:eastAsia="zh-CN"/>
        </w:rPr>
        <w:t>进一步释放住所资源，提升区域住所资源透明度，实现住所信息及时可得。</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bCs/>
          <w:color w:val="000000"/>
          <w:sz w:val="32"/>
          <w:szCs w:val="32"/>
          <w:highlight w:val="none"/>
          <w:lang w:val="en-US" w:eastAsia="zh-CN"/>
        </w:rPr>
        <w:t>三是</w:t>
      </w:r>
      <w:r>
        <w:rPr>
          <w:rFonts w:hint="eastAsia" w:ascii="仿宋_GB2312" w:hAnsi="仿宋_GB2312" w:eastAsia="仿宋_GB2312" w:cs="仿宋_GB2312"/>
          <w:b w:val="0"/>
          <w:bCs w:val="0"/>
          <w:color w:val="000000"/>
          <w:sz w:val="32"/>
          <w:szCs w:val="32"/>
          <w:highlight w:val="none"/>
          <w:lang w:val="en-US" w:eastAsia="zh-CN"/>
        </w:rPr>
        <w:t>建立地址资源库，通过线上线下地址核验，源头防范虚假地址。</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color w:val="000000"/>
          <w:sz w:val="32"/>
          <w:szCs w:val="32"/>
          <w:highlight w:val="none"/>
          <w:lang w:val="en-US" w:eastAsia="zh-CN"/>
        </w:rPr>
      </w:pPr>
      <w:r>
        <w:rPr>
          <w:rFonts w:hint="eastAsia" w:ascii="仿宋_GB2312" w:hAnsi="仿宋_GB2312" w:eastAsia="仿宋_GB2312" w:cs="仿宋_GB2312"/>
          <w:b/>
          <w:bCs/>
          <w:color w:val="000000"/>
          <w:sz w:val="32"/>
          <w:szCs w:val="32"/>
          <w:highlight w:val="none"/>
          <w:lang w:val="en-US" w:eastAsia="zh-CN"/>
        </w:rPr>
        <w:t>四是</w:t>
      </w:r>
      <w:r>
        <w:rPr>
          <w:rFonts w:hint="eastAsia" w:ascii="仿宋_GB2312" w:hAnsi="仿宋_GB2312" w:eastAsia="仿宋_GB2312" w:cs="仿宋_GB2312"/>
          <w:b w:val="0"/>
          <w:bCs w:val="0"/>
          <w:color w:val="000000"/>
          <w:sz w:val="32"/>
          <w:szCs w:val="32"/>
          <w:highlight w:val="none"/>
          <w:lang w:val="en-US" w:eastAsia="zh-CN"/>
        </w:rPr>
        <w:t>以住所管理为切入点，推进政府与市场信息双向传递和管理服务双向互动，推动“有效市场”与“有为政府”高效结合。</w:t>
      </w:r>
    </w:p>
    <w:p>
      <w:pPr>
        <w:pStyle w:val="4"/>
        <w:keepNext w:val="0"/>
        <w:keepLines w:val="0"/>
        <w:pageBreakBefore w:val="0"/>
        <w:widowControl w:val="0"/>
        <w:suppressAutoHyphens/>
        <w:kinsoku/>
        <w:wordWrap/>
        <w:overflowPunct/>
        <w:topLinePunct w:val="0"/>
        <w:autoSpaceDE/>
        <w:autoSpaceDN/>
        <w:bidi w:val="0"/>
        <w:adjustRightInd w:val="0"/>
        <w:snapToGrid w:val="0"/>
        <w:spacing w:line="560" w:lineRule="exact"/>
        <w:ind w:firstLine="640" w:firstLineChars="200"/>
        <w:textAlignment w:val="auto"/>
        <w:outlineLvl w:val="0"/>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w:t>
      </w:r>
      <w:r>
        <w:rPr>
          <w:rFonts w:hint="eastAsia" w:ascii="楷体_GB2312" w:hAnsi="楷体_GB2312" w:eastAsia="楷体_GB2312" w:cs="楷体_GB2312"/>
          <w:color w:val="000000"/>
          <w:sz w:val="32"/>
          <w:szCs w:val="32"/>
          <w:lang w:val="en-US" w:eastAsia="zh-CN"/>
        </w:rPr>
        <w:t>三</w:t>
      </w:r>
      <w:r>
        <w:rPr>
          <w:rFonts w:hint="eastAsia" w:ascii="楷体_GB2312" w:hAnsi="楷体_GB2312" w:eastAsia="楷体_GB2312" w:cs="楷体_GB2312"/>
          <w:color w:val="000000"/>
          <w:sz w:val="32"/>
          <w:szCs w:val="32"/>
          <w:lang w:eastAsia="zh-CN"/>
        </w:rPr>
        <w:t>）实施范围</w:t>
      </w:r>
    </w:p>
    <w:p>
      <w:pPr>
        <w:pStyle w:val="4"/>
        <w:keepNext w:val="0"/>
        <w:keepLines w:val="0"/>
        <w:pageBreakBefore w:val="0"/>
        <w:widowControl w:val="0"/>
        <w:suppressAutoHyphens/>
        <w:kinsoku/>
        <w:wordWrap/>
        <w:overflowPunct/>
        <w:topLinePunct w:val="0"/>
        <w:autoSpaceDE/>
        <w:autoSpaceDN/>
        <w:bidi w:val="0"/>
        <w:adjustRightInd w:val="0"/>
        <w:snapToGrid w:val="0"/>
        <w:spacing w:line="560" w:lineRule="exact"/>
        <w:ind w:firstLine="643" w:firstLineChars="200"/>
        <w:textAlignment w:val="auto"/>
        <w:outlineLvl w:val="0"/>
        <w:rPr>
          <w:rFonts w:hint="eastAsia" w:ascii="仿宋_GB2312" w:hAnsi="仿宋_GB2312" w:eastAsia="仿宋_GB2312" w:cs="仿宋_GB2312"/>
          <w:b w:val="0"/>
          <w:bCs w:val="0"/>
          <w:color w:val="000000"/>
          <w:kern w:val="2"/>
          <w:sz w:val="32"/>
          <w:szCs w:val="32"/>
          <w:highlight w:val="none"/>
          <w:lang w:val="en-US" w:eastAsia="zh-CN" w:bidi="ar-SA"/>
        </w:rPr>
      </w:pPr>
      <w:r>
        <w:rPr>
          <w:rFonts w:hint="eastAsia" w:ascii="仿宋_GB2312" w:hAnsi="仿宋_GB2312" w:eastAsia="仿宋_GB2312" w:cs="仿宋_GB2312"/>
          <w:b/>
          <w:bCs/>
          <w:color w:val="000000"/>
          <w:kern w:val="2"/>
          <w:sz w:val="32"/>
          <w:szCs w:val="32"/>
          <w:highlight w:val="none"/>
          <w:lang w:val="en-US" w:eastAsia="zh-CN" w:bidi="ar-SA"/>
        </w:rPr>
        <w:t>对象范围：</w:t>
      </w:r>
      <w:r>
        <w:rPr>
          <w:rFonts w:hint="eastAsia" w:ascii="仿宋_GB2312" w:hAnsi="仿宋_GB2312" w:eastAsia="仿宋_GB2312" w:cs="仿宋_GB2312"/>
          <w:b w:val="0"/>
          <w:bCs w:val="0"/>
          <w:color w:val="000000"/>
          <w:kern w:val="2"/>
          <w:sz w:val="32"/>
          <w:szCs w:val="32"/>
          <w:highlight w:val="none"/>
          <w:lang w:val="en-US" w:eastAsia="zh-CN" w:bidi="ar-SA"/>
        </w:rPr>
        <w:t>在亦庄新城225平方公里全域范围开展改革试点，首批纳入试点的地址原则上不超过25个，产权人（管理人）按照自愿原则进行申报。结合改革推进情况，逐步扩大对象范围。</w:t>
      </w:r>
    </w:p>
    <w:p>
      <w:pPr>
        <w:pStyle w:val="4"/>
        <w:keepNext w:val="0"/>
        <w:keepLines w:val="0"/>
        <w:pageBreakBefore w:val="0"/>
        <w:widowControl w:val="0"/>
        <w:suppressAutoHyphens/>
        <w:kinsoku/>
        <w:wordWrap/>
        <w:overflowPunct/>
        <w:topLinePunct w:val="0"/>
        <w:autoSpaceDE/>
        <w:autoSpaceDN/>
        <w:bidi w:val="0"/>
        <w:adjustRightInd w:val="0"/>
        <w:snapToGrid w:val="0"/>
        <w:spacing w:line="560" w:lineRule="exact"/>
        <w:ind w:firstLine="643" w:firstLineChars="200"/>
        <w:textAlignment w:val="auto"/>
        <w:outlineLvl w:val="0"/>
        <w:rPr>
          <w:rFonts w:hint="eastAsia" w:ascii="仿宋_GB2312" w:hAnsi="仿宋_GB2312" w:eastAsia="仿宋_GB2312" w:cs="仿宋_GB2312"/>
          <w:b w:val="0"/>
          <w:bCs w:val="0"/>
          <w:color w:val="000000"/>
          <w:kern w:val="2"/>
          <w:sz w:val="32"/>
          <w:szCs w:val="32"/>
          <w:highlight w:val="none"/>
          <w:lang w:val="en-US" w:eastAsia="zh-CN" w:bidi="ar-SA"/>
        </w:rPr>
      </w:pPr>
      <w:r>
        <w:rPr>
          <w:rFonts w:hint="eastAsia" w:ascii="仿宋_GB2312" w:hAnsi="仿宋_GB2312" w:eastAsia="仿宋_GB2312" w:cs="仿宋_GB2312"/>
          <w:b/>
          <w:bCs/>
          <w:color w:val="000000"/>
          <w:kern w:val="2"/>
          <w:sz w:val="32"/>
          <w:szCs w:val="32"/>
          <w:highlight w:val="none"/>
          <w:lang w:val="en-US" w:eastAsia="zh-CN" w:bidi="ar-SA"/>
        </w:rPr>
        <w:t>事项范围：</w:t>
      </w:r>
      <w:r>
        <w:rPr>
          <w:rFonts w:hint="eastAsia" w:ascii="仿宋_GB2312" w:hAnsi="仿宋_GB2312" w:eastAsia="仿宋_GB2312" w:cs="仿宋_GB2312"/>
          <w:b w:val="0"/>
          <w:bCs w:val="0"/>
          <w:color w:val="000000"/>
          <w:kern w:val="2"/>
          <w:sz w:val="32"/>
          <w:szCs w:val="32"/>
          <w:highlight w:val="none"/>
          <w:lang w:val="en-US" w:eastAsia="zh-CN" w:bidi="ar-SA"/>
        </w:rPr>
        <w:t>准入领域，实现登记事项全覆盖；准营领域，选取高频办理、涉及住所（经营场所）证明材料的事项，开展改革试点工作。结合实际办理情况，实施动态调整。</w:t>
      </w:r>
    </w:p>
    <w:p>
      <w:pPr>
        <w:pStyle w:val="4"/>
        <w:keepNext w:val="0"/>
        <w:keepLines w:val="0"/>
        <w:pageBreakBefore w:val="0"/>
        <w:widowControl w:val="0"/>
        <w:suppressAutoHyphens/>
        <w:kinsoku/>
        <w:wordWrap/>
        <w:overflowPunct/>
        <w:topLinePunct w:val="0"/>
        <w:autoSpaceDE/>
        <w:autoSpaceDN/>
        <w:bidi w:val="0"/>
        <w:adjustRightInd w:val="0"/>
        <w:snapToGrid w:val="0"/>
        <w:spacing w:line="560" w:lineRule="exact"/>
        <w:ind w:firstLine="640" w:firstLineChars="200"/>
        <w:textAlignment w:val="auto"/>
        <w:outlineLvl w:val="0"/>
        <w:rPr>
          <w:rFonts w:hint="default" w:ascii="楷体_GB2312" w:hAnsi="楷体_GB2312" w:eastAsia="楷体_GB2312" w:cs="楷体_GB2312"/>
          <w:color w:val="000000"/>
          <w:sz w:val="32"/>
          <w:szCs w:val="32"/>
          <w:lang w:val="en-US" w:eastAsia="zh-CN"/>
        </w:rPr>
      </w:pPr>
      <w:r>
        <w:rPr>
          <w:rFonts w:hint="eastAsia" w:ascii="楷体_GB2312" w:hAnsi="楷体_GB2312" w:eastAsia="楷体_GB2312" w:cs="楷体_GB2312"/>
          <w:color w:val="000000"/>
          <w:sz w:val="32"/>
          <w:szCs w:val="32"/>
          <w:lang w:eastAsia="zh-CN"/>
        </w:rPr>
        <w:t>（</w:t>
      </w:r>
      <w:r>
        <w:rPr>
          <w:rFonts w:hint="eastAsia" w:ascii="楷体_GB2312" w:hAnsi="楷体_GB2312" w:eastAsia="楷体_GB2312" w:cs="楷体_GB2312"/>
          <w:color w:val="000000"/>
          <w:sz w:val="32"/>
          <w:szCs w:val="32"/>
          <w:lang w:val="en-US" w:eastAsia="zh-CN"/>
        </w:rPr>
        <w:t>四</w:t>
      </w:r>
      <w:r>
        <w:rPr>
          <w:rFonts w:hint="eastAsia" w:ascii="楷体_GB2312" w:hAnsi="楷体_GB2312" w:eastAsia="楷体_GB2312" w:cs="楷体_GB2312"/>
          <w:color w:val="000000"/>
          <w:sz w:val="32"/>
          <w:szCs w:val="32"/>
          <w:lang w:eastAsia="zh-CN"/>
        </w:rPr>
        <w:t>）</w:t>
      </w:r>
      <w:r>
        <w:rPr>
          <w:rFonts w:hint="eastAsia" w:ascii="楷体_GB2312" w:hAnsi="楷体_GB2312" w:eastAsia="楷体_GB2312" w:cs="楷体_GB2312"/>
          <w:color w:val="000000"/>
          <w:sz w:val="32"/>
          <w:szCs w:val="32"/>
          <w:lang w:val="en-US" w:eastAsia="zh-CN"/>
        </w:rPr>
        <w:t>改革内容</w:t>
      </w:r>
    </w:p>
    <w:p>
      <w:pPr>
        <w:keepNext w:val="0"/>
        <w:keepLines w:val="0"/>
        <w:pageBreakBefore w:val="0"/>
        <w:widowControl w:val="0"/>
        <w:kinsoku/>
        <w:wordWrap/>
        <w:overflowPunct/>
        <w:topLinePunct w:val="0"/>
        <w:autoSpaceDE/>
        <w:autoSpaceDN/>
        <w:bidi w:val="0"/>
        <w:spacing w:line="560" w:lineRule="exact"/>
        <w:ind w:firstLine="640"/>
        <w:textAlignment w:val="auto"/>
        <w:rPr>
          <w:rFonts w:hint="eastAsia" w:ascii="仿宋_GB2312" w:hAnsi="仿宋_GB2312" w:eastAsia="仿宋_GB2312" w:cs="仿宋_GB2312"/>
          <w:b w:val="0"/>
          <w:bCs w:val="0"/>
          <w:color w:val="000000"/>
          <w:kern w:val="2"/>
          <w:sz w:val="32"/>
          <w:szCs w:val="32"/>
          <w:highlight w:val="none"/>
          <w:lang w:val="en-US" w:eastAsia="zh-CN" w:bidi="ar-SA"/>
        </w:rPr>
      </w:pPr>
      <w:r>
        <w:rPr>
          <w:rFonts w:hint="eastAsia" w:ascii="仿宋_GB2312" w:hAnsi="仿宋_GB2312" w:eastAsia="仿宋_GB2312" w:cs="仿宋_GB2312"/>
          <w:b/>
          <w:bCs/>
          <w:color w:val="000000"/>
          <w:kern w:val="2"/>
          <w:sz w:val="32"/>
          <w:szCs w:val="32"/>
          <w:highlight w:val="none"/>
          <w:lang w:val="en-US" w:eastAsia="zh-CN" w:bidi="ar-SA"/>
        </w:rPr>
        <w:t>一是产权人（管理人）申报，搭建“亦址通”标准化地址库。</w:t>
      </w:r>
      <w:r>
        <w:rPr>
          <w:rFonts w:hint="eastAsia" w:ascii="仿宋_GB2312" w:hAnsi="仿宋_GB2312" w:eastAsia="仿宋_GB2312" w:cs="仿宋_GB2312"/>
          <w:b w:val="0"/>
          <w:bCs w:val="0"/>
          <w:color w:val="000000"/>
          <w:kern w:val="2"/>
          <w:sz w:val="32"/>
          <w:szCs w:val="32"/>
          <w:highlight w:val="none"/>
          <w:lang w:val="en-US" w:eastAsia="zh-CN" w:bidi="ar-SA"/>
        </w:rPr>
        <w:t>按照自愿原则，产权人（管理人）通过线上线下方式自主申请，向审批部门提交住所（经营场所）证明文件，并对地址及地址使用的真实性、合法性进行信用承诺。审批部门通过线上数据对接+线下人工核验相结合的方式，最大程度确保地址信息的真实性。根据具体事项办理要求，沉淀积累地址申报数据，形成“亦址通”标准化地址库，并不断丰富。</w:t>
      </w:r>
    </w:p>
    <w:p>
      <w:pPr>
        <w:keepNext w:val="0"/>
        <w:keepLines w:val="0"/>
        <w:pageBreakBefore w:val="0"/>
        <w:widowControl w:val="0"/>
        <w:kinsoku/>
        <w:wordWrap/>
        <w:overflowPunct/>
        <w:topLinePunct w:val="0"/>
        <w:autoSpaceDE/>
        <w:autoSpaceDN/>
        <w:bidi w:val="0"/>
        <w:spacing w:line="560" w:lineRule="exact"/>
        <w:ind w:firstLine="640"/>
        <w:textAlignment w:val="auto"/>
        <w:rPr>
          <w:rFonts w:hint="eastAsia" w:ascii="仿宋_GB2312" w:hAnsi="仿宋_GB2312" w:eastAsia="仿宋_GB2312" w:cs="仿宋_GB2312"/>
          <w:b w:val="0"/>
          <w:bCs w:val="0"/>
          <w:color w:val="000000"/>
          <w:kern w:val="2"/>
          <w:sz w:val="32"/>
          <w:szCs w:val="32"/>
          <w:highlight w:val="none"/>
          <w:lang w:val="en-US" w:eastAsia="zh-CN" w:bidi="ar-SA"/>
        </w:rPr>
      </w:pPr>
      <w:r>
        <w:rPr>
          <w:rFonts w:hint="eastAsia" w:ascii="仿宋_GB2312" w:hAnsi="仿宋_GB2312" w:eastAsia="仿宋_GB2312" w:cs="仿宋_GB2312"/>
          <w:b/>
          <w:bCs/>
          <w:color w:val="000000"/>
          <w:kern w:val="2"/>
          <w:sz w:val="32"/>
          <w:szCs w:val="32"/>
          <w:highlight w:val="none"/>
          <w:lang w:val="en-US" w:eastAsia="zh-CN" w:bidi="ar-SA"/>
        </w:rPr>
        <w:t>二是流程优化，推行住所“零材料”。</w:t>
      </w:r>
      <w:r>
        <w:rPr>
          <w:rFonts w:hint="eastAsia" w:ascii="仿宋_GB2312" w:hAnsi="仿宋_GB2312" w:eastAsia="仿宋_GB2312" w:cs="仿宋_GB2312"/>
          <w:b w:val="0"/>
          <w:bCs w:val="0"/>
          <w:color w:val="000000"/>
          <w:kern w:val="2"/>
          <w:sz w:val="32"/>
          <w:szCs w:val="32"/>
          <w:highlight w:val="none"/>
          <w:lang w:val="en-US" w:eastAsia="zh-CN" w:bidi="ar-SA"/>
        </w:rPr>
        <w:t>在政务服务网对外展示标准化地址信息，市场主体可以点击“住所‘零材料’改革专区-市场主体入口-经营空间超市”按需检索。产权人通过“亦址通”地址库授权后，系统生成带有唯一二维码的《住所使用说明》。市场主体在办理登记注册和其他许可备案事项时，无需提交各类住所（经营场所）证明文件。</w:t>
      </w:r>
    </w:p>
    <w:p>
      <w:pPr>
        <w:keepNext w:val="0"/>
        <w:keepLines w:val="0"/>
        <w:pageBreakBefore w:val="0"/>
        <w:widowControl w:val="0"/>
        <w:kinsoku/>
        <w:wordWrap/>
        <w:overflowPunct/>
        <w:topLinePunct w:val="0"/>
        <w:autoSpaceDE/>
        <w:autoSpaceDN/>
        <w:bidi w:val="0"/>
        <w:spacing w:line="560" w:lineRule="exact"/>
        <w:ind w:firstLine="640"/>
        <w:textAlignment w:val="auto"/>
        <w:rPr>
          <w:rFonts w:hint="eastAsia" w:ascii="仿宋_GB2312" w:hAnsi="仿宋_GB2312" w:eastAsia="仿宋_GB2312" w:cs="仿宋_GB2312"/>
          <w:b w:val="0"/>
          <w:bCs w:val="0"/>
          <w:color w:val="000000"/>
          <w:kern w:val="2"/>
          <w:sz w:val="32"/>
          <w:szCs w:val="32"/>
          <w:highlight w:val="none"/>
          <w:lang w:val="en-US" w:eastAsia="zh-CN" w:bidi="ar-SA"/>
        </w:rPr>
      </w:pPr>
      <w:r>
        <w:rPr>
          <w:rFonts w:hint="eastAsia" w:ascii="仿宋_GB2312" w:hAnsi="仿宋_GB2312" w:eastAsia="仿宋_GB2312" w:cs="仿宋_GB2312"/>
          <w:b/>
          <w:bCs/>
          <w:color w:val="000000"/>
          <w:kern w:val="2"/>
          <w:sz w:val="32"/>
          <w:szCs w:val="32"/>
          <w:highlight w:val="none"/>
          <w:lang w:val="en-US" w:eastAsia="zh-CN" w:bidi="ar-SA"/>
        </w:rPr>
        <w:t>三是数据赋能，依法开展审批工作。</w:t>
      </w:r>
      <w:r>
        <w:rPr>
          <w:rFonts w:hint="eastAsia" w:ascii="仿宋_GB2312" w:hAnsi="仿宋_GB2312" w:eastAsia="仿宋_GB2312" w:cs="仿宋_GB2312"/>
          <w:b w:val="0"/>
          <w:bCs w:val="0"/>
          <w:color w:val="000000"/>
          <w:kern w:val="2"/>
          <w:sz w:val="32"/>
          <w:szCs w:val="32"/>
          <w:highlight w:val="none"/>
          <w:lang w:val="en-US" w:eastAsia="zh-CN" w:bidi="ar-SA"/>
        </w:rPr>
        <w:t>“亦址通”地址库生成《住所使用说明》后，相关数据自动推送至“e窗通、一网通办”等业务审批平台，审批部门依据《住所使用说明》开展审批、存档等相关工作，不再要求市场主体另行提交相关证明文件。对地址信息进行标准化配置（明确具体的楼号、楼层等），确保市场主体登记注册的住所或经营场所与“亦址通”地址库中的地址信息保持一致，推动住所管理标准化、规范化。</w:t>
      </w:r>
    </w:p>
    <w:p>
      <w:pPr>
        <w:keepNext w:val="0"/>
        <w:keepLines w:val="0"/>
        <w:pageBreakBefore w:val="0"/>
        <w:widowControl w:val="0"/>
        <w:kinsoku/>
        <w:wordWrap/>
        <w:overflowPunct/>
        <w:topLinePunct w:val="0"/>
        <w:autoSpaceDE/>
        <w:autoSpaceDN/>
        <w:bidi w:val="0"/>
        <w:spacing w:line="560" w:lineRule="exact"/>
        <w:ind w:firstLine="640"/>
        <w:textAlignment w:val="auto"/>
        <w:rPr>
          <w:rFonts w:hint="eastAsia" w:ascii="仿宋_GB2312" w:hAnsi="仿宋_GB2312" w:eastAsia="仿宋_GB2312" w:cs="仿宋_GB2312"/>
          <w:b w:val="0"/>
          <w:bCs w:val="0"/>
          <w:color w:val="000000"/>
          <w:kern w:val="2"/>
          <w:sz w:val="32"/>
          <w:szCs w:val="32"/>
          <w:highlight w:val="none"/>
          <w:lang w:val="en-US" w:eastAsia="zh-CN" w:bidi="ar-SA"/>
        </w:rPr>
      </w:pPr>
      <w:r>
        <w:rPr>
          <w:rFonts w:hint="eastAsia" w:ascii="仿宋_GB2312" w:hAnsi="仿宋_GB2312" w:eastAsia="仿宋_GB2312" w:cs="仿宋_GB2312"/>
          <w:b/>
          <w:bCs/>
          <w:color w:val="000000"/>
          <w:kern w:val="2"/>
          <w:sz w:val="32"/>
          <w:szCs w:val="32"/>
          <w:highlight w:val="none"/>
          <w:lang w:val="en-US" w:eastAsia="zh-CN" w:bidi="ar-SA"/>
        </w:rPr>
        <w:t>四是加强审管联动，强化信息化支撑。</w:t>
      </w:r>
      <w:r>
        <w:rPr>
          <w:rFonts w:hint="eastAsia" w:ascii="仿宋_GB2312" w:hAnsi="仿宋_GB2312" w:eastAsia="仿宋_GB2312" w:cs="仿宋_GB2312"/>
          <w:b w:val="0"/>
          <w:bCs w:val="0"/>
          <w:color w:val="000000"/>
          <w:kern w:val="2"/>
          <w:sz w:val="32"/>
          <w:szCs w:val="32"/>
          <w:highlight w:val="none"/>
          <w:lang w:val="en-US" w:eastAsia="zh-CN" w:bidi="ar-SA"/>
        </w:rPr>
        <w:t xml:space="preserve">以地址信息为基础，推动“亦址通”标准化地址库与大数据平台、企业链、一张图对接，实现地址在线核验，提升审批服务质量和效率。通过“审管执信”一体化平台，实现住所（经营场所）数据在审批、监管、执法部门间推送。加强事中事后监管，明确撤销登记和不适用改革的情形，加强审批与税务、监管和执法部门协同。构建“政府+产权人+市场主体”多元共治模式，审批部门为产权人提供信息定向推送和异动提醒，产权人向审批部门反馈市场主体异动及意见建议，督促市场主体做好年报公示等相关工作，市场主体向产权人反馈经营变动情形，实现多元共治。 </w:t>
      </w:r>
    </w:p>
    <w:p>
      <w:pPr>
        <w:keepNext w:val="0"/>
        <w:keepLines w:val="0"/>
        <w:pageBreakBefore w:val="0"/>
        <w:widowControl w:val="0"/>
        <w:kinsoku/>
        <w:wordWrap/>
        <w:overflowPunct/>
        <w:topLinePunct w:val="0"/>
        <w:autoSpaceDE/>
        <w:autoSpaceDN/>
        <w:bidi w:val="0"/>
        <w:spacing w:line="560" w:lineRule="exact"/>
        <w:ind w:firstLine="64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五</w:t>
      </w:r>
      <w:r>
        <w:rPr>
          <w:rFonts w:hint="eastAsia" w:ascii="楷体_GB2312" w:hAnsi="楷体_GB2312" w:eastAsia="楷体_GB2312" w:cs="楷体_GB2312"/>
          <w:sz w:val="32"/>
          <w:szCs w:val="32"/>
        </w:rPr>
        <w:t>）附件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rPr>
        <w:t>内容</w:t>
      </w:r>
      <w:r>
        <w:rPr>
          <w:rFonts w:hint="eastAsia" w:ascii="仿宋_GB2312" w:hAnsi="仿宋_GB2312" w:eastAsia="仿宋_GB2312" w:cs="仿宋_GB2312"/>
          <w:sz w:val="32"/>
          <w:szCs w:val="32"/>
          <w:highlight w:val="none"/>
          <w:lang w:val="en-US" w:eastAsia="zh-CN"/>
        </w:rPr>
        <w:t>为首批纳入</w:t>
      </w:r>
      <w:r>
        <w:rPr>
          <w:rFonts w:hint="eastAsia" w:ascii="仿宋_GB2312" w:hAnsi="仿宋_GB2312" w:eastAsia="仿宋_GB2312" w:cs="仿宋_GB2312"/>
          <w:sz w:val="32"/>
          <w:szCs w:val="32"/>
          <w:highlight w:val="none"/>
        </w:rPr>
        <w:t>住所“零材料”改革</w:t>
      </w:r>
      <w:r>
        <w:rPr>
          <w:rFonts w:hint="eastAsia" w:ascii="仿宋_GB2312" w:hAnsi="仿宋_GB2312" w:eastAsia="仿宋_GB2312" w:cs="仿宋_GB2312"/>
          <w:sz w:val="32"/>
          <w:szCs w:val="32"/>
          <w:highlight w:val="none"/>
          <w:lang w:val="en-US" w:eastAsia="zh-CN"/>
        </w:rPr>
        <w:t>的</w:t>
      </w:r>
      <w:r>
        <w:rPr>
          <w:rFonts w:hint="eastAsia" w:ascii="仿宋_GB2312" w:hAnsi="仿宋_GB2312" w:eastAsia="仿宋_GB2312" w:cs="仿宋_GB2312"/>
          <w:sz w:val="32"/>
          <w:szCs w:val="32"/>
          <w:highlight w:val="none"/>
        </w:rPr>
        <w:t>事项清单</w:t>
      </w:r>
      <w:r>
        <w:rPr>
          <w:rFonts w:hint="eastAsia" w:ascii="仿宋_GB2312" w:hAnsi="仿宋_GB2312" w:eastAsia="仿宋_GB2312" w:cs="仿宋_GB2312"/>
          <w:sz w:val="32"/>
          <w:szCs w:val="32"/>
          <w:highlight w:val="none"/>
          <w:lang w:eastAsia="zh-CN"/>
        </w:rPr>
        <w:t>、住所“零材料”改革工作流程图、地址申报承诺书。</w:t>
      </w:r>
      <w:r>
        <w:rPr>
          <w:rFonts w:hint="eastAsia" w:ascii="仿宋_GB2312" w:hAnsi="仿宋_GB2312" w:eastAsia="仿宋_GB2312" w:cs="仿宋_GB2312"/>
          <w:sz w:val="32"/>
          <w:szCs w:val="32"/>
          <w:highlight w:val="none"/>
          <w:lang w:val="en-US" w:eastAsia="zh-CN"/>
        </w:rPr>
        <w:t>首批选取“企业设立、变更、注销登记”“劳务派遣经营许可”“出版物零售单位和个体工商户设立、变更审批”“动物诊疗许可证核发”等事项纳入</w:t>
      </w:r>
      <w:r>
        <w:rPr>
          <w:rFonts w:hint="eastAsia" w:ascii="仿宋_GB2312" w:hAnsi="仿宋_GB2312" w:eastAsia="仿宋_GB2312" w:cs="仿宋_GB2312"/>
          <w:sz w:val="32"/>
          <w:szCs w:val="32"/>
          <w:highlight w:val="none"/>
        </w:rPr>
        <w:t>住所“零材料”改革</w:t>
      </w:r>
      <w:r>
        <w:rPr>
          <w:rFonts w:hint="eastAsia" w:ascii="仿宋_GB2312" w:hAnsi="仿宋_GB2312" w:eastAsia="仿宋_GB2312" w:cs="仿宋_GB2312"/>
          <w:sz w:val="32"/>
          <w:szCs w:val="32"/>
          <w:highlight w:val="none"/>
          <w:lang w:eastAsia="zh-CN"/>
        </w:rPr>
        <w:t>。住所“零材料”改革工作流程</w:t>
      </w:r>
      <w:r>
        <w:rPr>
          <w:rFonts w:hint="eastAsia" w:ascii="仿宋_GB2312" w:hAnsi="仿宋_GB2312" w:eastAsia="仿宋_GB2312" w:cs="仿宋_GB2312"/>
          <w:sz w:val="32"/>
          <w:szCs w:val="32"/>
          <w:highlight w:val="none"/>
          <w:lang w:val="en-US" w:eastAsia="zh-CN"/>
        </w:rPr>
        <w:t>图从产权人地址申报、市场主体办理审批业务两个环节展现具体办事流程</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产权人（管理人）按照自愿原则，通过线上线下方式向审批部门提交</w:t>
      </w:r>
      <w:r>
        <w:rPr>
          <w:rFonts w:hint="eastAsia" w:ascii="仿宋_GB2312" w:hAnsi="仿宋_GB2312" w:eastAsia="仿宋_GB2312" w:cs="仿宋_GB2312"/>
          <w:sz w:val="32"/>
          <w:szCs w:val="32"/>
          <w:highlight w:val="none"/>
          <w:lang w:eastAsia="zh-CN"/>
        </w:rPr>
        <w:t>地址申报承诺书</w:t>
      </w:r>
      <w:r>
        <w:rPr>
          <w:rFonts w:hint="eastAsia" w:ascii="仿宋_GB2312" w:hAnsi="仿宋_GB2312" w:eastAsia="仿宋_GB2312" w:cs="仿宋_GB2312"/>
          <w:sz w:val="32"/>
          <w:szCs w:val="32"/>
          <w:highlight w:val="none"/>
          <w:lang w:val="en-US" w:eastAsia="zh-CN"/>
        </w:rPr>
        <w:t>和住所（经营场所）证明文件时</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对申报的地址及地址使用的真实性、合法性进行信用承诺。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b w:val="0"/>
          <w:bCs w:val="0"/>
          <w:sz w:val="32"/>
          <w:szCs w:val="32"/>
          <w:lang w:eastAsia="zh-CN"/>
        </w:rPr>
      </w:pPr>
      <w:r>
        <w:rPr>
          <w:rFonts w:hint="eastAsia" w:ascii="黑体" w:hAnsi="黑体" w:eastAsia="黑体"/>
          <w:b w:val="0"/>
          <w:bCs w:val="0"/>
          <w:sz w:val="32"/>
          <w:szCs w:val="32"/>
          <w:lang w:eastAsia="zh-CN"/>
        </w:rPr>
        <w:t>三</w:t>
      </w:r>
      <w:r>
        <w:rPr>
          <w:rFonts w:hint="eastAsia" w:ascii="黑体" w:hAnsi="黑体" w:eastAsia="黑体"/>
          <w:b w:val="0"/>
          <w:bCs w:val="0"/>
          <w:sz w:val="32"/>
          <w:szCs w:val="32"/>
        </w:rPr>
        <w:t>、</w:t>
      </w:r>
      <w:r>
        <w:rPr>
          <w:rFonts w:hint="eastAsia" w:ascii="黑体" w:hAnsi="黑体" w:eastAsia="黑体"/>
          <w:b w:val="0"/>
          <w:bCs w:val="0"/>
          <w:sz w:val="32"/>
          <w:szCs w:val="32"/>
          <w:lang w:eastAsia="zh-CN"/>
        </w:rPr>
        <w:t>编制情况</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pPr>
      <w:r>
        <w:rPr>
          <w:rFonts w:hint="eastAsia" w:ascii="仿宋_GB2312" w:hAnsi="仿宋_GB2312" w:eastAsia="仿宋_GB2312" w:cs="仿宋_GB2312"/>
          <w:sz w:val="32"/>
          <w:szCs w:val="32"/>
        </w:rPr>
        <w:t>围绕住所“零材料”改革</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北京经济技术开发区</w:t>
      </w:r>
      <w:r>
        <w:rPr>
          <w:rFonts w:hint="eastAsia" w:ascii="仿宋_GB2312" w:hAnsi="仿宋_GB2312" w:eastAsia="仿宋_GB2312" w:cs="仿宋_GB2312"/>
          <w:sz w:val="32"/>
          <w:szCs w:val="32"/>
          <w:lang w:val="en-US" w:eastAsia="zh-CN"/>
        </w:rPr>
        <w:t>行政审批局</w:t>
      </w:r>
      <w:r>
        <w:rPr>
          <w:rFonts w:hint="eastAsia" w:ascii="仿宋_GB2312" w:hAnsi="仿宋_GB2312" w:eastAsia="仿宋_GB2312" w:cs="仿宋_GB2312"/>
          <w:sz w:val="32"/>
          <w:szCs w:val="32"/>
          <w:lang w:eastAsia="zh-CN"/>
        </w:rPr>
        <w:t>开展深入调研，多次进行研</w:t>
      </w:r>
      <w:bookmarkStart w:id="0" w:name="_GoBack"/>
      <w:bookmarkEnd w:id="0"/>
      <w:r>
        <w:rPr>
          <w:rFonts w:hint="eastAsia" w:ascii="仿宋_GB2312" w:hAnsi="仿宋_GB2312" w:eastAsia="仿宋_GB2312" w:cs="仿宋_GB2312"/>
          <w:sz w:val="32"/>
          <w:szCs w:val="32"/>
          <w:lang w:eastAsia="zh-CN"/>
        </w:rPr>
        <w:t>究调度，</w:t>
      </w:r>
      <w:r>
        <w:rPr>
          <w:rFonts w:hint="eastAsia" w:ascii="仿宋_GB2312" w:hAnsi="仿宋_GB2312" w:eastAsia="仿宋_GB2312" w:cs="仿宋_GB2312"/>
          <w:sz w:val="32"/>
          <w:szCs w:val="32"/>
        </w:rPr>
        <w:t>形成了《</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lang w:eastAsia="zh-CN"/>
        </w:rPr>
        <w:t>方案</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p>
    <w:sectPr>
      <w:footerReference r:id="rId3" w:type="default"/>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D2F003E-A31F-4B0C-A7B9-F5CFDDE21BA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2" w:fontKey="{310DFD89-30D8-49EE-9A58-C0F36C267B8D}"/>
  </w:font>
  <w:font w:name="Calibri Light">
    <w:panose1 w:val="020F0302020204030204"/>
    <w:charset w:val="00"/>
    <w:family w:val="auto"/>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auto"/>
    <w:pitch w:val="default"/>
    <w:sig w:usb0="00000001" w:usb1="080E0000" w:usb2="00000000" w:usb3="00000000" w:csb0="00040000" w:csb1="00000000"/>
    <w:embedRegular r:id="rId3" w:fontKey="{01D3FE14-3ECA-4B57-AFE6-FD40A4A54E02}"/>
  </w:font>
  <w:font w:name="楷体_GB2312">
    <w:panose1 w:val="02010609030101010101"/>
    <w:charset w:val="86"/>
    <w:family w:val="modern"/>
    <w:pitch w:val="default"/>
    <w:sig w:usb0="00000001" w:usb1="080E0000" w:usb2="00000000" w:usb3="00000000" w:csb0="00040000" w:csb1="00000000"/>
    <w:embedRegular r:id="rId4" w:fontKey="{DD9F9D53-655E-4B3D-8785-5EBBF7D268E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1</w:t>
    </w:r>
    <w:r>
      <w:rPr>
        <w:lang w:val="zh-CN"/>
      </w:rP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4NDE1Zjg4ODczYTEzNjVkZjdlOGZlZGJhYWQzNTkifQ=="/>
  </w:docVars>
  <w:rsids>
    <w:rsidRoot w:val="37D82806"/>
    <w:rsid w:val="013B4D07"/>
    <w:rsid w:val="02BE582C"/>
    <w:rsid w:val="04B67307"/>
    <w:rsid w:val="06D53383"/>
    <w:rsid w:val="0D1569A5"/>
    <w:rsid w:val="1055708F"/>
    <w:rsid w:val="11D4383A"/>
    <w:rsid w:val="1C72489D"/>
    <w:rsid w:val="1D130E20"/>
    <w:rsid w:val="20362E30"/>
    <w:rsid w:val="20E32F45"/>
    <w:rsid w:val="21707C09"/>
    <w:rsid w:val="223B07F0"/>
    <w:rsid w:val="25B4251A"/>
    <w:rsid w:val="25B81DB0"/>
    <w:rsid w:val="2AA92766"/>
    <w:rsid w:val="2B4D49AD"/>
    <w:rsid w:val="2BE64DDC"/>
    <w:rsid w:val="342235FB"/>
    <w:rsid w:val="34394904"/>
    <w:rsid w:val="37D82806"/>
    <w:rsid w:val="39253208"/>
    <w:rsid w:val="3AEF2891"/>
    <w:rsid w:val="3BE928BB"/>
    <w:rsid w:val="3F4117E2"/>
    <w:rsid w:val="3F57A806"/>
    <w:rsid w:val="42F42465"/>
    <w:rsid w:val="49885819"/>
    <w:rsid w:val="49B54134"/>
    <w:rsid w:val="4BA6467C"/>
    <w:rsid w:val="4BE119AB"/>
    <w:rsid w:val="4C0F3FD0"/>
    <w:rsid w:val="5490650D"/>
    <w:rsid w:val="554747DA"/>
    <w:rsid w:val="573214BA"/>
    <w:rsid w:val="57F569FF"/>
    <w:rsid w:val="581C6CEF"/>
    <w:rsid w:val="587840DC"/>
    <w:rsid w:val="596D663E"/>
    <w:rsid w:val="5A296470"/>
    <w:rsid w:val="5B2FD9B3"/>
    <w:rsid w:val="5C1E541C"/>
    <w:rsid w:val="5CF05B01"/>
    <w:rsid w:val="5EC055A6"/>
    <w:rsid w:val="5EC73C02"/>
    <w:rsid w:val="62713AFC"/>
    <w:rsid w:val="6357316B"/>
    <w:rsid w:val="677B4DF1"/>
    <w:rsid w:val="68920CB4"/>
    <w:rsid w:val="702459EC"/>
    <w:rsid w:val="74AE1D28"/>
    <w:rsid w:val="74DB5853"/>
    <w:rsid w:val="76D86017"/>
    <w:rsid w:val="77613082"/>
    <w:rsid w:val="7DB66BB0"/>
    <w:rsid w:val="7FFFB477"/>
    <w:rsid w:val="A7FF45F5"/>
    <w:rsid w:val="BCC7853C"/>
    <w:rsid w:val="BFD70065"/>
    <w:rsid w:val="DAEEEA9E"/>
    <w:rsid w:val="E9EE83E8"/>
    <w:rsid w:val="EF7E8193"/>
    <w:rsid w:val="FBFF339C"/>
    <w:rsid w:val="FDFF1C04"/>
    <w:rsid w:val="FFEB5AC4"/>
    <w:rsid w:val="FFF3A3DE"/>
    <w:rsid w:val="FFFE2D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next w:val="1"/>
    <w:qFormat/>
    <w:uiPriority w:val="0"/>
    <w:pPr>
      <w:keepNext/>
      <w:keepLines/>
      <w:widowControl w:val="0"/>
      <w:spacing w:line="560" w:lineRule="exact"/>
      <w:ind w:firstLine="800" w:firstLineChars="200"/>
      <w:jc w:val="left"/>
      <w:outlineLvl w:val="0"/>
    </w:pPr>
    <w:rPr>
      <w:rFonts w:ascii="Calibri" w:hAnsi="Calibri" w:eastAsia="黑体" w:cs="宋体"/>
      <w:color w:val="000000"/>
      <w:kern w:val="44"/>
      <w:sz w:val="32"/>
      <w:szCs w:val="32"/>
      <w:lang w:val="en-US" w:eastAsia="zh-CN" w:bidi="ar-SA"/>
    </w:rPr>
  </w:style>
  <w:style w:type="paragraph" w:styleId="4">
    <w:name w:val="heading 2"/>
    <w:basedOn w:val="1"/>
    <w:next w:val="1"/>
    <w:qFormat/>
    <w:uiPriority w:val="0"/>
    <w:pPr>
      <w:keepNext/>
      <w:keepLines/>
      <w:widowControl w:val="0"/>
      <w:spacing w:line="560" w:lineRule="exact"/>
      <w:ind w:firstLine="800" w:firstLineChars="200"/>
      <w:jc w:val="both"/>
      <w:outlineLvl w:val="1"/>
    </w:pPr>
    <w:rPr>
      <w:rFonts w:ascii="Calibri Light" w:hAnsi="Calibri Light" w:eastAsia="楷体" w:cs="宋体"/>
      <w:bCs/>
      <w:color w:val="000000"/>
      <w:kern w:val="2"/>
      <w:sz w:val="32"/>
      <w:szCs w:val="32"/>
      <w:lang w:val="en-US" w:eastAsia="zh-CN" w:bidi="ar-SA"/>
    </w:rPr>
  </w:style>
  <w:style w:type="paragraph" w:styleId="2">
    <w:name w:val="heading 4"/>
    <w:basedOn w:val="1"/>
    <w:next w:val="1"/>
    <w:qFormat/>
    <w:uiPriority w:val="9"/>
    <w:pPr>
      <w:keepNext/>
      <w:keepLines/>
      <w:spacing w:before="280" w:after="290" w:line="376" w:lineRule="atLeast"/>
      <w:outlineLvl w:val="3"/>
    </w:pPr>
    <w:rPr>
      <w:rFonts w:ascii="Cambria" w:hAnsi="Cambria" w:eastAsia="宋体" w:cs="Times New Roman"/>
      <w:b/>
      <w:bCs/>
      <w:sz w:val="28"/>
      <w:szCs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Body Text"/>
    <w:basedOn w:val="1"/>
    <w:unhideWhenUsed/>
    <w:qFormat/>
    <w:uiPriority w:val="0"/>
    <w:pPr>
      <w:spacing w:after="120"/>
    </w:pPr>
    <w:rPr>
      <w:rFonts w:ascii="Times New Roman" w:hAnsi="Times New Roman"/>
    </w:rPr>
  </w:style>
  <w:style w:type="paragraph" w:styleId="7">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1963</Words>
  <Characters>1968</Characters>
  <Lines>0</Lines>
  <Paragraphs>0</Paragraphs>
  <TotalTime>2</TotalTime>
  <ScaleCrop>false</ScaleCrop>
  <LinksUpToDate>false</LinksUpToDate>
  <CharactersWithSpaces>1970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2022-01-09T17:50:00Z</dcterms:created>
  <dc:creator>梁爽办公室</dc:creator>
  <cp:lastModifiedBy>rentao</cp:lastModifiedBy>
  <cp:lastPrinted>2023-07-17T06:20:00Z</cp:lastPrinted>
  <dcterms:modified xsi:type="dcterms:W3CDTF">2023-07-17T08:11:56Z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958544F08868457D85998E5DC23C64FF_13</vt:lpwstr>
  </property>
</Properties>
</file>