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附件2：</w:t>
      </w:r>
    </w:p>
    <w:p>
      <w:pPr>
        <w:pStyle w:val="2"/>
        <w:rPr>
          <w:rFonts w:eastAsiaTheme="minorEastAsia"/>
        </w:rPr>
      </w:pPr>
    </w:p>
    <w:p>
      <w:pPr>
        <w:spacing w:line="56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关于《北京经济技术开发区关于规范工业用地管理促进产业高质量发展的若干措施（征求意见稿）》的起草说明</w:t>
      </w:r>
    </w:p>
    <w:p>
      <w:pPr>
        <w:adjustRightInd w:val="0"/>
        <w:snapToGrid w:val="0"/>
        <w:spacing w:line="520" w:lineRule="exact"/>
        <w:jc w:val="center"/>
        <w:rPr>
          <w:rFonts w:ascii="方正小标宋简体" w:hAnsi="方正小标宋简体" w:eastAsia="方正小标宋简体" w:cs="方正小标宋简体"/>
          <w:sz w:val="36"/>
          <w:szCs w:val="36"/>
        </w:rPr>
      </w:pPr>
    </w:p>
    <w:p>
      <w:pPr>
        <w:spacing w:line="560" w:lineRule="exact"/>
        <w:ind w:firstLine="645"/>
        <w:rPr>
          <w:rFonts w:ascii="仿宋_GB2312" w:hAnsi="仿宋_GB2312" w:eastAsia="仿宋_GB2312" w:cs="仿宋_GB2312"/>
          <w:sz w:val="32"/>
          <w:szCs w:val="32"/>
        </w:rPr>
      </w:pPr>
      <w:r>
        <w:rPr>
          <w:rFonts w:hint="eastAsia" w:ascii="仿宋_GB2312" w:hAnsi="仿宋_GB2312" w:eastAsia="仿宋_GB2312" w:cs="仿宋_GB2312"/>
          <w:sz w:val="32"/>
          <w:szCs w:val="32"/>
        </w:rPr>
        <w:t>为进一步规范工业用地管理，提高土地利用水平和产出效益，促进产业转型升级和经济高质量发展，针对亦庄新城225平方公里工业用地现状使用情况，制定《北京经济技术开发区关于规范工业用地管理促进产业高质量发展的若干措施（征求意见稿）》（以下简称“若干措施”）。</w:t>
      </w:r>
    </w:p>
    <w:p>
      <w:pPr>
        <w:spacing w:line="560" w:lineRule="exact"/>
        <w:ind w:firstLine="645"/>
        <w:rPr>
          <w:rFonts w:ascii="黑体" w:hAnsi="黑体" w:eastAsia="黑体" w:cs="黑体"/>
          <w:sz w:val="32"/>
          <w:szCs w:val="32"/>
        </w:rPr>
      </w:pPr>
      <w:r>
        <w:rPr>
          <w:rFonts w:hint="eastAsia" w:ascii="黑体" w:hAnsi="黑体" w:eastAsia="黑体" w:cs="黑体"/>
          <w:sz w:val="32"/>
          <w:szCs w:val="32"/>
        </w:rPr>
        <w:t>一、起草依据</w:t>
      </w:r>
    </w:p>
    <w:p>
      <w:pPr>
        <w:spacing w:line="560" w:lineRule="exact"/>
        <w:ind w:firstLine="645"/>
        <w:rPr>
          <w:rFonts w:ascii="仿宋_GB2312" w:hAnsi="仿宋_GB2312" w:eastAsia="仿宋_GB2312" w:cs="仿宋_GB2312"/>
          <w:sz w:val="32"/>
          <w:szCs w:val="32"/>
        </w:rPr>
      </w:pPr>
      <w:r>
        <w:rPr>
          <w:rFonts w:hint="eastAsia" w:ascii="仿宋_GB2312" w:hAnsi="仿宋_GB2312" w:eastAsia="仿宋_GB2312" w:cs="仿宋_GB2312"/>
          <w:sz w:val="32"/>
          <w:szCs w:val="32"/>
        </w:rPr>
        <w:t>2022年，经开区按照《北京市人民政府关于实施城市更新行动的指导意见》和《北京市城市更新行动计划（2021-2025年）》要求，严格落实《“十四五”时期北京经济技术开发区发展建设和二〇三五年远景目标规划》、《亦庄新城规划（2017年-2035年）》，</w:t>
      </w:r>
      <w:r>
        <w:rPr>
          <w:rFonts w:hint="eastAsia" w:ascii="仿宋_GB2312" w:hAnsi="仿宋_GB2312" w:eastAsia="仿宋_GB2312" w:cs="仿宋_GB2312"/>
          <w:color w:val="auto"/>
          <w:sz w:val="32"/>
          <w:szCs w:val="32"/>
        </w:rPr>
        <w:t>通过挖掘更新资源、需求清单，总结问题、政策清单，衔接空间规划以及产业规划，摸清“家底”</w:t>
      </w:r>
      <w:r>
        <w:rPr>
          <w:rFonts w:hint="eastAsia" w:ascii="仿宋_GB2312" w:hAnsi="仿宋_GB2312" w:eastAsia="仿宋_GB2312" w:cs="仿宋_GB2312"/>
          <w:sz w:val="32"/>
          <w:szCs w:val="32"/>
        </w:rPr>
        <w:t>过程中发现，亦庄新城除了工业用地规模不足之外，部分产业空间存在利用效率不高的情况。根据《北京市城市更新条例》《中华人民共和国城乡规划法》《中华人民共和国土地管理法》《中华人民共和国土地管理法实施条例》《北京市人民政府关于加快科技创新构建高精尖经济结构用地政策的意见（试行）》等文件精神，结合亦庄新城实际，探索与规范工业用地管理相匹配的政策体系。</w:t>
      </w:r>
    </w:p>
    <w:p>
      <w:pPr>
        <w:spacing w:line="560" w:lineRule="exact"/>
        <w:ind w:firstLine="645"/>
        <w:rPr>
          <w:rFonts w:ascii="黑体" w:hAnsi="黑体" w:eastAsia="黑体" w:cs="黑体"/>
          <w:sz w:val="32"/>
          <w:szCs w:val="32"/>
        </w:rPr>
      </w:pPr>
      <w:r>
        <w:rPr>
          <w:rFonts w:hint="eastAsia" w:ascii="黑体" w:hAnsi="黑体" w:eastAsia="黑体" w:cs="黑体"/>
          <w:sz w:val="32"/>
          <w:szCs w:val="32"/>
        </w:rPr>
        <w:t>二、起草过程</w:t>
      </w:r>
    </w:p>
    <w:p>
      <w:pPr>
        <w:spacing w:line="560" w:lineRule="exact"/>
        <w:ind w:firstLine="645"/>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管委会高度重视若干措施起草工作，管委会领导多次召开专题会调度，开发建设局牵头起草制定，管委会各部门、各单位结合职责和工作实际，对若干措施提出意见建议，在此基础上初步形成若干措施征求意见稿，向社会公开征集意见。</w:t>
      </w:r>
    </w:p>
    <w:p>
      <w:pPr>
        <w:spacing w:line="560" w:lineRule="exact"/>
        <w:ind w:firstLine="645"/>
        <w:rPr>
          <w:rFonts w:ascii="仿宋_GB2312" w:hAnsi="仿宋_GB2312" w:eastAsia="仿宋_GB2312" w:cs="仿宋_GB2312"/>
          <w:sz w:val="32"/>
          <w:szCs w:val="32"/>
        </w:rPr>
      </w:pPr>
      <w:r>
        <w:rPr>
          <w:rFonts w:hint="eastAsia" w:ascii="黑体" w:hAnsi="黑体" w:eastAsia="黑体" w:cs="黑体"/>
          <w:sz w:val="32"/>
          <w:szCs w:val="32"/>
        </w:rPr>
        <w:t>三、若干措施主要内容</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“若干措施”共分四部分，重点围绕规范工业用地管理的总体目标、基本原则、各部门职责分工及保障措施进行展开。</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第一部分 制定“若干措施”的总体目标。针对亦庄新城工业用地开展常态化、精细化、长效化监管。通过对亦庄新城225平方公里范围内工业用地合规运营、经济效益产出、产权人履约守诺等方面开展综合评价、信用建档、精准施策、专项治理等方式，形成闭环管理，盘活存量资源，提高利用效益，推进工业用地提质增效，助力产业高质量发展。</w:t>
      </w:r>
    </w:p>
    <w:p>
      <w:pPr>
        <w:pStyle w:val="6"/>
        <w:ind w:firstLine="640"/>
        <w:rPr>
          <w:rFonts w:hAnsi="仿宋" w:cs="仿宋"/>
          <w:color w:val="000000" w:themeColor="text1"/>
          <w14:textFill>
            <w14:solidFill>
              <w14:schemeClr w14:val="tx1"/>
            </w14:solidFill>
          </w14:textFill>
        </w:rPr>
      </w:pPr>
      <w:r>
        <w:rPr>
          <w:rFonts w:hint="eastAsia"/>
        </w:rPr>
        <w:t>第二部分 “若干措施”的基本原则。明确</w:t>
      </w:r>
      <w:r>
        <w:rPr>
          <w:rFonts w:hint="eastAsia" w:hAnsi="仿宋" w:cs="仿宋"/>
          <w:color w:val="000000" w:themeColor="text1"/>
          <w14:textFill>
            <w14:solidFill>
              <w14:schemeClr w14:val="tx1"/>
            </w14:solidFill>
          </w14:textFill>
        </w:rPr>
        <w:t>“工业用地工业用途、综合评价信用分级、正向激励反向约束、政府引导市场调节、区域协同协调发展”五大基本原则。</w:t>
      </w:r>
    </w:p>
    <w:p>
      <w:pPr>
        <w:pStyle w:val="6"/>
        <w:ind w:firstLine="640"/>
        <w:rPr>
          <w:rFonts w:hAnsi="仿宋" w:cs="仿宋"/>
          <w:color w:val="000000" w:themeColor="text1"/>
          <w14:textFill>
            <w14:solidFill>
              <w14:schemeClr w14:val="tx1"/>
            </w14:solidFill>
          </w14:textFill>
        </w:rPr>
      </w:pPr>
      <w:r>
        <w:rPr>
          <w:rFonts w:hint="eastAsia" w:hAnsi="仿宋" w:cs="仿宋"/>
          <w:color w:val="000000" w:themeColor="text1"/>
          <w14:textFill>
            <w14:solidFill>
              <w14:schemeClr w14:val="tx1"/>
            </w14:solidFill>
          </w14:textFill>
        </w:rPr>
        <w:t>第三部分 “若干措施”的工作措施。依据各部门职责分工构建工业用地分级分类评价体系；建立“信用+工业用地”信用监管应用场景；</w:t>
      </w:r>
      <w:r>
        <w:rPr>
          <w:rFonts w:hint="eastAsia" w:hAnsi="仿宋" w:cs="仿宋"/>
          <w:color w:val="000000" w:themeColor="text1"/>
          <w:kern w:val="0"/>
          <w14:textFill>
            <w14:solidFill>
              <w14:schemeClr w14:val="tx1"/>
            </w14:solidFill>
          </w14:textFill>
        </w:rPr>
        <w:t>强化评价结果运用；加强优质工业用地奖励扶持；推进低效工业用地更新提升；</w:t>
      </w:r>
      <w:r>
        <w:rPr>
          <w:rFonts w:hint="eastAsia" w:hAnsi="仿宋" w:cs="仿宋"/>
          <w:color w:val="000000" w:themeColor="text1"/>
          <w:szCs w:val="36"/>
          <w14:textFill>
            <w14:solidFill>
              <w14:schemeClr w14:val="tx1"/>
            </w14:solidFill>
          </w14:textFill>
        </w:rPr>
        <w:t>开展违规违约工业用地专项整治；建立常态化协同监管引导机制；强化数字赋能等相关管理措施。</w:t>
      </w:r>
    </w:p>
    <w:p>
      <w:pPr>
        <w:pStyle w:val="6"/>
        <w:ind w:firstLine="640"/>
      </w:pPr>
      <w:r>
        <w:rPr>
          <w:rFonts w:hint="eastAsia"/>
        </w:rPr>
        <w:t>第四</w:t>
      </w:r>
      <w:r>
        <w:rPr>
          <w:rFonts w:hint="eastAsia" w:hAnsi="仿宋" w:cs="仿宋"/>
          <w:color w:val="000000" w:themeColor="text1"/>
          <w14:textFill>
            <w14:solidFill>
              <w14:schemeClr w14:val="tx1"/>
            </w14:solidFill>
          </w14:textFill>
        </w:rPr>
        <w:t>部分</w:t>
      </w:r>
      <w:r>
        <w:rPr>
          <w:rFonts w:hint="eastAsia"/>
        </w:rPr>
        <w:t xml:space="preserve"> </w:t>
      </w:r>
      <w:r>
        <w:rPr>
          <w:rFonts w:hint="eastAsia" w:hAnsi="仿宋" w:cs="仿宋"/>
          <w:color w:val="000000" w:themeColor="text1"/>
          <w14:textFill>
            <w14:solidFill>
              <w14:schemeClr w14:val="tx1"/>
            </w14:solidFill>
          </w14:textFill>
        </w:rPr>
        <w:t>“若干措施”的保障措施</w:t>
      </w:r>
      <w:r>
        <w:rPr>
          <w:rFonts w:hint="eastAsia"/>
        </w:rPr>
        <w:t>。明确各相关单位</w:t>
      </w:r>
      <w:r>
        <w:rPr>
          <w:rFonts w:hint="eastAsia" w:hAnsi="仿宋" w:cs="仿宋"/>
          <w:color w:val="000000" w:themeColor="text1"/>
          <w:szCs w:val="36"/>
          <w14:textFill>
            <w14:solidFill>
              <w14:schemeClr w14:val="tx1"/>
            </w14:solidFill>
          </w14:textFill>
        </w:rPr>
        <w:t>加强工业用地管理，</w:t>
      </w:r>
      <w:r>
        <w:rPr>
          <w:rFonts w:hint="eastAsia"/>
        </w:rPr>
        <w:t>分</w:t>
      </w:r>
      <w:r>
        <w:rPr>
          <w:rFonts w:hint="eastAsia" w:hAnsi="仿宋" w:cs="仿宋"/>
          <w:color w:val="000000" w:themeColor="text1"/>
          <w:szCs w:val="36"/>
          <w14:textFill>
            <w14:solidFill>
              <w14:schemeClr w14:val="tx1"/>
            </w14:solidFill>
          </w14:textFill>
        </w:rPr>
        <w:t>类施策，强化部门联动，形成工作合力。做好宣传引导，政策解读。</w:t>
      </w:r>
      <w:r>
        <w:rPr>
          <w:rFonts w:hint="eastAsia" w:hAnsi="仿宋"/>
          <w:color w:val="000000" w:themeColor="text1"/>
          <w:kern w:val="0"/>
          <w14:textFill>
            <w14:solidFill>
              <w14:schemeClr w14:val="tx1"/>
            </w14:solidFill>
          </w14:textFill>
        </w:rPr>
        <w:t>定期对工业用地管理情况进行评估总结。</w:t>
      </w:r>
    </w:p>
    <w:p>
      <w:pPr>
        <w:pStyle w:val="2"/>
      </w:pPr>
    </w:p>
    <w:p>
      <w:pPr>
        <w:pStyle w:val="2"/>
      </w:pPr>
    </w:p>
    <w:p>
      <w:pPr>
        <w:pStyle w:val="2"/>
      </w:pPr>
    </w:p>
    <w:p>
      <w:pPr>
        <w:pStyle w:val="2"/>
        <w:rPr>
          <w:rFonts w:ascii="仿宋_GB2312" w:hAnsi="仿宋_GB2312" w:eastAsia="仿宋_GB2312" w:cs="仿宋_GB2312"/>
          <w:sz w:val="32"/>
          <w:szCs w:val="32"/>
        </w:rPr>
      </w:pPr>
    </w:p>
    <w:p>
      <w:pPr>
        <w:pStyle w:val="2"/>
        <w:rPr>
          <w:rFonts w:ascii="方正小标宋简体" w:hAnsi="方正小标宋简体" w:eastAsia="方正小标宋简体" w:cs="方正小标宋简体"/>
          <w:sz w:val="36"/>
          <w:szCs w:val="36"/>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方正小标宋简体">
    <w:panose1 w:val="03000509000000000000"/>
    <w:charset w:val="86"/>
    <w:family w:val="script"/>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313AA6"/>
    <w:rsid w:val="237A40DC"/>
    <w:rsid w:val="53C52E14"/>
    <w:rsid w:val="54F17AA0"/>
    <w:rsid w:val="6B8869DD"/>
    <w:rsid w:val="794635ED"/>
    <w:rsid w:val="7E6D2E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Calibri" w:cs="Calibri"/>
      <w:color w:val="000000"/>
      <w:kern w:val="2"/>
      <w:sz w:val="21"/>
      <w:szCs w:val="21"/>
      <w:u w:color="000000"/>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3">
    <w:name w:val="Subtitle"/>
    <w:basedOn w:val="1"/>
    <w:next w:val="1"/>
    <w:qFormat/>
    <w:uiPriority w:val="11"/>
    <w:pPr>
      <w:spacing w:before="240" w:after="60" w:line="312" w:lineRule="auto"/>
      <w:jc w:val="center"/>
      <w:outlineLvl w:val="1"/>
    </w:pPr>
    <w:rPr>
      <w:rFonts w:ascii="Cambria" w:hAnsi="Cambria"/>
      <w:b/>
      <w:bCs/>
      <w:kern w:val="28"/>
      <w:sz w:val="32"/>
      <w:szCs w:val="32"/>
    </w:rPr>
  </w:style>
  <w:style w:type="paragraph" w:customStyle="1" w:styleId="6">
    <w:name w:val="文件正文"/>
    <w:basedOn w:val="3"/>
    <w:qFormat/>
    <w:uiPriority w:val="0"/>
    <w:pPr>
      <w:spacing w:before="0" w:after="0" w:line="560" w:lineRule="exact"/>
      <w:ind w:firstLine="622" w:firstLineChars="200"/>
      <w:jc w:val="both"/>
      <w:outlineLvl w:val="9"/>
    </w:pPr>
    <w:rPr>
      <w:rFonts w:ascii="仿宋_GB2312" w:hAnsi="仿宋_GB2312" w:eastAsia="仿宋_GB2312" w:cs="仿宋_GB2312"/>
      <w:b w:val="0"/>
      <w:bCs w:val="0"/>
      <w:kern w:val="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2022-07-29T01:17:00Z</dcterms:created>
  <dc:creator>hp</dc:creator>
  <cp:lastModifiedBy>★かか♥蕾</cp:lastModifiedBy>
  <dcterms:modified xsi:type="dcterms:W3CDTF">2023-07-14T08:20:01Z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