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560" w:lineRule="exact"/>
        <w:rPr>
          <w:rFonts w:hint="default" w:eastAsia="方正小标宋简体"/>
          <w:color w:val="auto"/>
          <w:szCs w:val="44"/>
          <w:lang w:val="en-US" w:eastAsia="zh-CN"/>
        </w:rPr>
      </w:pPr>
      <w:r>
        <w:rPr>
          <w:rFonts w:hint="eastAsia"/>
          <w:color w:val="auto"/>
          <w:szCs w:val="44"/>
        </w:rPr>
        <w:t>《北京经济技术开发区社会投资工业类项目“拿地即可开工”审批服务指引（试行）</w:t>
      </w:r>
      <w:r>
        <w:rPr>
          <w:rFonts w:hint="eastAsia"/>
          <w:color w:val="auto"/>
          <w:szCs w:val="44"/>
          <w:lang w:eastAsia="zh-CN"/>
        </w:rPr>
        <w:t>（</w:t>
      </w:r>
      <w:r>
        <w:rPr>
          <w:rFonts w:hint="eastAsia"/>
          <w:color w:val="auto"/>
          <w:szCs w:val="44"/>
          <w:lang w:val="en-US" w:eastAsia="zh-CN"/>
        </w:rPr>
        <w:t>征求意见稿</w:t>
      </w:r>
      <w:r>
        <w:rPr>
          <w:rFonts w:hint="eastAsia"/>
          <w:color w:val="auto"/>
          <w:szCs w:val="44"/>
          <w:lang w:eastAsia="zh-CN"/>
        </w:rPr>
        <w:t>）</w:t>
      </w:r>
      <w:r>
        <w:rPr>
          <w:rFonts w:hint="eastAsia"/>
          <w:color w:val="auto"/>
          <w:szCs w:val="44"/>
        </w:rPr>
        <w:t>》</w:t>
      </w:r>
      <w:r>
        <w:rPr>
          <w:rFonts w:hint="eastAsia"/>
          <w:color w:val="auto"/>
          <w:szCs w:val="44"/>
          <w:lang w:val="en-US" w:eastAsia="zh-CN"/>
        </w:rPr>
        <w:t>起草说明</w:t>
      </w:r>
    </w:p>
    <w:p>
      <w:pPr>
        <w:spacing w:line="560" w:lineRule="exact"/>
        <w:rPr>
          <w:rFonts w:ascii="仿宋_GB2312" w:eastAsia="仿宋_GB2312"/>
          <w:bCs/>
          <w:kern w:val="10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40"/>
        </w:rPr>
        <w:t xml:space="preserve">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default" w:ascii="黑体" w:hAnsi="黑体" w:eastAsia="黑体" w:cs="黑体"/>
          <w:b/>
          <w:bCs/>
          <w:kern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10"/>
          <w:sz w:val="32"/>
          <w:szCs w:val="32"/>
        </w:rPr>
        <w:t>一、</w:t>
      </w:r>
      <w:r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  <w:t>制定目的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0" w:leftChars="0" w:firstLine="640"/>
        <w:textAlignment w:val="auto"/>
        <w:rPr>
          <w:rFonts w:hint="eastAsia" w:hAnsi="仿宋" w:cs="Times New Roman"/>
          <w:sz w:val="32"/>
          <w:szCs w:val="32"/>
        </w:rPr>
      </w:pPr>
      <w:r>
        <w:rPr>
          <w:rFonts w:hint="eastAsia" w:hAnsi="仿宋" w:cs="Times New Roman"/>
          <w:sz w:val="32"/>
          <w:szCs w:val="32"/>
        </w:rPr>
        <w:t>为落实《北京市优化营商环境条例》《北京市营商环境创新试点工作实施方案》有关精神，进一步深化“放管服”改革，优化营商环境，提高行政审批服务效率，培育和激发市场主体活力，切实加快产业项目落地实施，结合经开区北京亦盛、富创精密</w:t>
      </w:r>
      <w:bookmarkStart w:id="0" w:name="_GoBack"/>
      <w:bookmarkEnd w:id="0"/>
      <w:r>
        <w:rPr>
          <w:rFonts w:hint="eastAsia" w:hAnsi="仿宋" w:cs="Times New Roman"/>
          <w:sz w:val="32"/>
          <w:szCs w:val="32"/>
        </w:rPr>
        <w:t>等“拿地即可开工”项目成功案例，按照“拿地即开工是常态，拿地不开工是例外”的要求，</w:t>
      </w:r>
      <w:r>
        <w:rPr>
          <w:rFonts w:hint="eastAsia" w:hAnsi="仿宋_GB2312" w:cs="仿宋_GB2312"/>
          <w:sz w:val="32"/>
          <w:szCs w:val="32"/>
          <w:shd w:val="clear" w:color="auto" w:fill="FFFFFF"/>
        </w:rPr>
        <w:t>全面推进“拿地即可开工”常态化运行</w:t>
      </w:r>
      <w:r>
        <w:rPr>
          <w:rFonts w:hint="eastAsia" w:hAnsi="仿宋" w:cs="Times New Roman"/>
          <w:sz w:val="32"/>
          <w:szCs w:val="32"/>
        </w:rPr>
        <w:t>，制定《北京经济技术开发区社会投资工业类项目“拿地即可开工”审批服务指引（试行）</w:t>
      </w:r>
      <w:r>
        <w:rPr>
          <w:rFonts w:hint="eastAsia" w:hAnsi="仿宋" w:cs="Times New Roman"/>
          <w:sz w:val="32"/>
          <w:szCs w:val="32"/>
          <w:lang w:eastAsia="zh-CN"/>
        </w:rPr>
        <w:t>（</w:t>
      </w:r>
      <w:r>
        <w:rPr>
          <w:rFonts w:hint="eastAsia" w:hAnsi="仿宋" w:cs="Times New Roman"/>
          <w:sz w:val="32"/>
          <w:szCs w:val="32"/>
          <w:lang w:val="en-US" w:eastAsia="zh-CN"/>
        </w:rPr>
        <w:t>征求意见稿</w:t>
      </w:r>
      <w:r>
        <w:rPr>
          <w:rFonts w:hint="eastAsia" w:hAnsi="仿宋" w:cs="Times New Roman"/>
          <w:sz w:val="32"/>
          <w:szCs w:val="32"/>
          <w:lang w:eastAsia="zh-CN"/>
        </w:rPr>
        <w:t>）</w:t>
      </w:r>
      <w:r>
        <w:rPr>
          <w:rFonts w:hint="eastAsia" w:hAnsi="仿宋" w:cs="Times New Roman"/>
          <w:sz w:val="32"/>
          <w:szCs w:val="32"/>
        </w:rPr>
        <w:t>》（以下简称《指引》）。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  <w:t>制定依据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hint="default" w:ascii="仿宋_GB2312" w:hAnsi="仿宋_GB2312" w:eastAsia="仿宋_GB2312" w:cstheme="minorBidi"/>
          <w:kern w:val="2"/>
          <w:sz w:val="32"/>
          <w:szCs w:val="40"/>
          <w:lang w:val="en-US" w:eastAsia="zh-CN" w:bidi="ar-SA"/>
        </w:rPr>
      </w:pPr>
      <w:r>
        <w:rPr>
          <w:rFonts w:hint="eastAsia" w:ascii="仿宋_GB2312" w:hAnsi="仿宋_GB2312" w:eastAsia="仿宋_GB2312" w:cstheme="minorBidi"/>
          <w:kern w:val="2"/>
          <w:sz w:val="32"/>
          <w:szCs w:val="40"/>
          <w:lang w:val="en-US" w:eastAsia="zh-CN" w:bidi="ar-SA"/>
        </w:rPr>
        <w:t>《中华人民共和国城乡规划法》、《北京市城乡规划条例》、《中华人民共和国建筑法》、《北京市优化营商环境条例》《北京市营商环境创新试点工作实施方案》等有关法律法规及政策。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ascii="黑体" w:hAnsi="黑体" w:eastAsia="黑体" w:cs="黑体"/>
          <w:b/>
          <w:bCs/>
          <w:kern w:val="1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b/>
          <w:bCs/>
          <w:kern w:val="10"/>
          <w:sz w:val="32"/>
          <w:szCs w:val="32"/>
        </w:rPr>
        <w:t>、起草过程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bCs/>
          <w:kern w:val="10"/>
          <w:sz w:val="32"/>
          <w:szCs w:val="32"/>
        </w:rPr>
      </w:pPr>
      <w:r>
        <w:rPr>
          <w:rFonts w:hint="eastAsia" w:ascii="仿宋_GB2312" w:hAnsi="仿宋_GB2312" w:eastAsia="仿宋_GB2312"/>
          <w:sz w:val="32"/>
          <w:szCs w:val="40"/>
        </w:rPr>
        <w:t>本《指引》由北京经济技术开发区</w:t>
      </w:r>
      <w:r>
        <w:rPr>
          <w:rFonts w:hint="eastAsia" w:ascii="仿宋_GB2312" w:hAnsi="仿宋_GB2312" w:eastAsia="仿宋_GB2312"/>
          <w:sz w:val="32"/>
          <w:szCs w:val="40"/>
          <w:lang w:val="en-US" w:eastAsia="zh-CN"/>
        </w:rPr>
        <w:t>行政审批局</w:t>
      </w:r>
      <w:r>
        <w:rPr>
          <w:rFonts w:hint="eastAsia" w:ascii="仿宋_GB2312" w:hAnsi="仿宋_GB2312" w:eastAsia="仿宋_GB2312"/>
          <w:sz w:val="32"/>
          <w:szCs w:val="40"/>
        </w:rPr>
        <w:t>起草，围绕“拿地即可开工”开展调研工作，征求多方意见，并对《指引》进行了多次修改。目前《指引》已通过主任办公会审议，形成了《北京经济技术开发区社会投资工业类项目“拿地即可开工”审批服务指引（试行）（征求意见稿）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b/>
          <w:bCs/>
          <w:kern w:val="10"/>
          <w:sz w:val="32"/>
          <w:szCs w:val="32"/>
        </w:rPr>
        <w:t>、主要内容</w:t>
      </w:r>
      <w:r>
        <w:rPr>
          <w:rFonts w:hint="eastAsia" w:ascii="黑体" w:hAnsi="黑体" w:eastAsia="黑体" w:cs="黑体"/>
          <w:b/>
          <w:bCs/>
          <w:kern w:val="10"/>
          <w:sz w:val="32"/>
          <w:szCs w:val="32"/>
          <w:lang w:val="en-US" w:eastAsia="zh-CN"/>
        </w:rPr>
        <w:t>说明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0" w:leftChars="0" w:firstLine="640"/>
        <w:textAlignment w:val="auto"/>
        <w:rPr>
          <w:b w:val="0"/>
          <w:bCs/>
          <w:kern w:val="10"/>
          <w:sz w:val="32"/>
          <w:szCs w:val="32"/>
        </w:rPr>
      </w:pPr>
      <w:r>
        <w:rPr>
          <w:rFonts w:hint="eastAsia"/>
          <w:b w:val="0"/>
          <w:bCs/>
          <w:kern w:val="10"/>
          <w:sz w:val="32"/>
          <w:szCs w:val="32"/>
        </w:rPr>
        <w:t>《指引》共分为七部分。一是明确了“拿地即可开工”的概念，并确定以取得“施工许可证”为工作目标；二是明确适用范围；三是明确实施的基本原则，企业积极响应、自愿参与，政府各职能部门</w:t>
      </w:r>
      <w:r>
        <w:rPr>
          <w:rFonts w:hAnsi="仿宋_GB2312" w:cs="仿宋_GB2312"/>
          <w:b w:val="0"/>
          <w:bCs/>
          <w:sz w:val="32"/>
          <w:szCs w:val="32"/>
        </w:rPr>
        <w:t>在依法合规的框架下</w:t>
      </w:r>
      <w:r>
        <w:rPr>
          <w:rFonts w:hint="eastAsia" w:hAnsi="仿宋" w:cs="Times New Roman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，有序推进审批工作</w:t>
      </w:r>
      <w:r>
        <w:rPr>
          <w:rFonts w:hint="eastAsia" w:hAnsi="仿宋_GB2312" w:cs="仿宋_GB2312"/>
          <w:b w:val="0"/>
          <w:bCs/>
          <w:sz w:val="32"/>
          <w:szCs w:val="32"/>
        </w:rPr>
        <w:t>；四是</w:t>
      </w:r>
      <w:r>
        <w:rPr>
          <w:rFonts w:hint="eastAsia"/>
          <w:b w:val="0"/>
          <w:bCs/>
          <w:kern w:val="10"/>
          <w:sz w:val="32"/>
          <w:szCs w:val="32"/>
        </w:rPr>
        <w:t>建立工作机制，强调部门统筹调度，通过“主辅并行、靠前服务”的运行机制</w:t>
      </w:r>
      <w:r>
        <w:rPr>
          <w:rFonts w:hint="eastAsia" w:hAnsi="仿宋_GB2312" w:cs="仿宋_GB2312"/>
          <w:b w:val="0"/>
          <w:bCs/>
          <w:sz w:val="32"/>
          <w:szCs w:val="32"/>
        </w:rPr>
        <w:t>，最大限度压缩审批时限，实现</w:t>
      </w:r>
      <w:r>
        <w:rPr>
          <w:rFonts w:hint="eastAsia"/>
          <w:b w:val="0"/>
          <w:bCs/>
          <w:kern w:val="10"/>
          <w:sz w:val="32"/>
          <w:szCs w:val="32"/>
        </w:rPr>
        <w:t>“拿地即可开工”</w:t>
      </w:r>
      <w:r>
        <w:rPr>
          <w:rFonts w:hint="eastAsia" w:hAnsi="仿宋_GB2312" w:cs="仿宋_GB2312"/>
          <w:b w:val="0"/>
          <w:bCs/>
          <w:sz w:val="32"/>
          <w:szCs w:val="32"/>
        </w:rPr>
        <w:t>；</w:t>
      </w:r>
      <w:r>
        <w:rPr>
          <w:rFonts w:hint="eastAsia"/>
          <w:b w:val="0"/>
          <w:bCs/>
          <w:kern w:val="10"/>
          <w:sz w:val="32"/>
          <w:szCs w:val="32"/>
        </w:rPr>
        <w:t>五是明确</w:t>
      </w:r>
      <w:r>
        <w:rPr>
          <w:rFonts w:hint="eastAsia" w:hAnsi="仿宋_GB2312" w:cs="仿宋_GB2312"/>
          <w:b w:val="0"/>
          <w:bCs/>
          <w:sz w:val="32"/>
          <w:szCs w:val="32"/>
        </w:rPr>
        <w:t>工作起点和靠前服务的关键时间阶段，以审批办理事项为着力点，明确政府部门、市政专业公司及拟拿地企业的职责分工；</w:t>
      </w:r>
      <w:r>
        <w:rPr>
          <w:rFonts w:hint="eastAsia"/>
          <w:b w:val="0"/>
          <w:bCs/>
          <w:kern w:val="10"/>
          <w:sz w:val="32"/>
          <w:szCs w:val="32"/>
        </w:rPr>
        <w:t>六是列举了中止情形，当审批过程中，项目发生重大变更或企业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中途主动放弃时，可即时中止；</w:t>
      </w:r>
      <w:r>
        <w:rPr>
          <w:rFonts w:hint="eastAsia"/>
          <w:b w:val="0"/>
          <w:bCs/>
          <w:kern w:val="10"/>
          <w:sz w:val="32"/>
          <w:szCs w:val="32"/>
        </w:rPr>
        <w:t>七是提出“宣传引导、动态协同、方案互认、跟踪联络”等保障措施。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eastAsia="仿宋_GB2312"/>
          <w:b w:val="0"/>
          <w:bCs/>
          <w:kern w:val="10"/>
          <w:sz w:val="32"/>
          <w:szCs w:val="32"/>
          <w:highlight w:val="yellow"/>
        </w:rPr>
      </w:pPr>
      <w:r>
        <w:rPr>
          <w:rFonts w:hint="eastAsia" w:ascii="仿宋_GB2312" w:eastAsia="仿宋_GB2312"/>
          <w:b w:val="0"/>
          <w:bCs/>
          <w:kern w:val="10"/>
          <w:sz w:val="32"/>
          <w:szCs w:val="32"/>
        </w:rPr>
        <w:t>最终</w:t>
      </w:r>
      <w:r>
        <w:rPr>
          <w:rFonts w:ascii="仿宋_GB2312" w:eastAsia="仿宋_GB2312"/>
          <w:b w:val="0"/>
          <w:bCs/>
          <w:kern w:val="10"/>
          <w:sz w:val="32"/>
          <w:szCs w:val="32"/>
        </w:rPr>
        <w:t>形成</w:t>
      </w:r>
      <w:r>
        <w:rPr>
          <w:rFonts w:hint="eastAsia" w:ascii="仿宋_GB2312" w:eastAsia="仿宋_GB2312"/>
          <w:b w:val="0"/>
          <w:bCs/>
          <w:kern w:val="10"/>
          <w:sz w:val="32"/>
          <w:szCs w:val="32"/>
        </w:rPr>
        <w:t>“1个指引+</w:t>
      </w:r>
      <w:r>
        <w:rPr>
          <w:rFonts w:ascii="仿宋_GB2312" w:eastAsia="仿宋_GB2312"/>
          <w:b w:val="0"/>
          <w:bCs/>
          <w:kern w:val="10"/>
          <w:sz w:val="32"/>
          <w:szCs w:val="32"/>
        </w:rPr>
        <w:t>3</w:t>
      </w:r>
      <w:r>
        <w:rPr>
          <w:rFonts w:hint="eastAsia" w:ascii="仿宋_GB2312" w:eastAsia="仿宋_GB2312"/>
          <w:b w:val="0"/>
          <w:bCs/>
          <w:kern w:val="10"/>
          <w:sz w:val="32"/>
          <w:szCs w:val="32"/>
        </w:rPr>
        <w:t>个附件”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的成果形式。</w:t>
      </w:r>
      <w:r>
        <w:rPr>
          <w:rFonts w:hint="eastAsia" w:ascii="仿宋_GB2312" w:eastAsia="仿宋_GB2312"/>
          <w:b w:val="0"/>
          <w:bCs/>
          <w:kern w:val="10"/>
          <w:sz w:val="32"/>
          <w:szCs w:val="32"/>
        </w:rPr>
        <w:t>附件包含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办理流程图、事项清单和承诺书。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0" w:leftChars="0" w:firstLine="640"/>
        <w:textAlignment w:val="auto"/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0" w:leftChars="0" w:firstLine="640"/>
        <w:jc w:val="right"/>
        <w:textAlignment w:val="auto"/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北京经济技术开发区管理委员会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0" w:leftChars="0" w:firstLine="640"/>
        <w:jc w:val="right"/>
        <w:textAlignment w:val="auto"/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202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hAnsi="仿宋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日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89391955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C4B90ED"/>
    <w:multiLevelType w:val="singleLevel"/>
    <w:tmpl w:val="3C4B90ED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YxYjM3ZGY4ZWZiZDAyNThlMTY3NGYzYjViZWFkOTYifQ=="/>
  </w:docVars>
  <w:rsids>
    <w:rsidRoot w:val="00F4031E"/>
    <w:rsid w:val="00074AAE"/>
    <w:rsid w:val="000A782F"/>
    <w:rsid w:val="00142713"/>
    <w:rsid w:val="001A5CE8"/>
    <w:rsid w:val="00207752"/>
    <w:rsid w:val="002370E5"/>
    <w:rsid w:val="00254AF7"/>
    <w:rsid w:val="00301F41"/>
    <w:rsid w:val="00314AB2"/>
    <w:rsid w:val="003305DC"/>
    <w:rsid w:val="00334E7F"/>
    <w:rsid w:val="00385F13"/>
    <w:rsid w:val="0040020D"/>
    <w:rsid w:val="005A1267"/>
    <w:rsid w:val="005E476A"/>
    <w:rsid w:val="005F26D7"/>
    <w:rsid w:val="00602B40"/>
    <w:rsid w:val="006730FC"/>
    <w:rsid w:val="006B3618"/>
    <w:rsid w:val="007E71EA"/>
    <w:rsid w:val="00825ED0"/>
    <w:rsid w:val="00850521"/>
    <w:rsid w:val="00896AD2"/>
    <w:rsid w:val="008E6541"/>
    <w:rsid w:val="008E74E6"/>
    <w:rsid w:val="00920886"/>
    <w:rsid w:val="009E4365"/>
    <w:rsid w:val="00A347BC"/>
    <w:rsid w:val="00B00F8B"/>
    <w:rsid w:val="00B02777"/>
    <w:rsid w:val="00B77500"/>
    <w:rsid w:val="00BF65C6"/>
    <w:rsid w:val="00C6018D"/>
    <w:rsid w:val="00CC32E9"/>
    <w:rsid w:val="00DC7097"/>
    <w:rsid w:val="00E061AF"/>
    <w:rsid w:val="00E2168D"/>
    <w:rsid w:val="00EC2B81"/>
    <w:rsid w:val="00F4031E"/>
    <w:rsid w:val="00F73700"/>
    <w:rsid w:val="011E32D4"/>
    <w:rsid w:val="022628C8"/>
    <w:rsid w:val="0434288A"/>
    <w:rsid w:val="0BAA4E51"/>
    <w:rsid w:val="12DB5F87"/>
    <w:rsid w:val="12E8210E"/>
    <w:rsid w:val="17B51857"/>
    <w:rsid w:val="1B615D36"/>
    <w:rsid w:val="1D36170A"/>
    <w:rsid w:val="228203F1"/>
    <w:rsid w:val="24D242A6"/>
    <w:rsid w:val="2B9741F1"/>
    <w:rsid w:val="2F6E62AF"/>
    <w:rsid w:val="340053F5"/>
    <w:rsid w:val="34883E1D"/>
    <w:rsid w:val="3CAC07A0"/>
    <w:rsid w:val="3FE21E53"/>
    <w:rsid w:val="41134A00"/>
    <w:rsid w:val="426546C0"/>
    <w:rsid w:val="440C4BF8"/>
    <w:rsid w:val="465B0D81"/>
    <w:rsid w:val="48094D4A"/>
    <w:rsid w:val="4C637D2D"/>
    <w:rsid w:val="4FC47697"/>
    <w:rsid w:val="510C6D30"/>
    <w:rsid w:val="54BD1958"/>
    <w:rsid w:val="55A4310A"/>
    <w:rsid w:val="55C11D7A"/>
    <w:rsid w:val="59B463FA"/>
    <w:rsid w:val="5B836B4A"/>
    <w:rsid w:val="5D526304"/>
    <w:rsid w:val="61D168CD"/>
    <w:rsid w:val="624D2049"/>
    <w:rsid w:val="62E47B0C"/>
    <w:rsid w:val="6549631E"/>
    <w:rsid w:val="6650283F"/>
    <w:rsid w:val="68FC72BC"/>
    <w:rsid w:val="6B392DFF"/>
    <w:rsid w:val="6FA82A84"/>
    <w:rsid w:val="76EC2FDC"/>
    <w:rsid w:val="78BA39FB"/>
    <w:rsid w:val="79EB3841"/>
    <w:rsid w:val="7B550BC5"/>
    <w:rsid w:val="7F78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/>
      <w:ind w:left="420" w:leftChars="200" w:firstLine="420"/>
    </w:pPr>
  </w:style>
  <w:style w:type="paragraph" w:styleId="3">
    <w:name w:val="Body Text Indent"/>
    <w:basedOn w:val="1"/>
    <w:next w:val="2"/>
    <w:qFormat/>
    <w:uiPriority w:val="0"/>
    <w:pPr>
      <w:ind w:firstLine="560" w:firstLineChars="200"/>
    </w:pPr>
    <w:rPr>
      <w:rFonts w:ascii="仿宋_GB2312" w:eastAsia="仿宋_GB2312"/>
      <w:sz w:val="28"/>
      <w:szCs w:val="2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sz w:val="18"/>
      <w:szCs w:val="18"/>
    </w:rPr>
  </w:style>
  <w:style w:type="paragraph" w:customStyle="1" w:styleId="10">
    <w:name w:val="公文标题"/>
    <w:basedOn w:val="1"/>
    <w:qFormat/>
    <w:uiPriority w:val="1"/>
    <w:pPr>
      <w:adjustRightInd w:val="0"/>
      <w:snapToGrid w:val="0"/>
      <w:spacing w:line="680" w:lineRule="exact"/>
      <w:jc w:val="center"/>
    </w:pPr>
    <w:rPr>
      <w:rFonts w:ascii="方正小标宋简体" w:hAnsi="仿宋" w:eastAsia="方正小标宋简体" w:cs="Times New Roman"/>
      <w:color w:val="222222"/>
      <w:sz w:val="4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865</Words>
  <Characters>869</Characters>
  <Lines>9</Lines>
  <Paragraphs>2</Paragraphs>
  <TotalTime>2</TotalTime>
  <ScaleCrop>false</ScaleCrop>
  <LinksUpToDate>false</LinksUpToDate>
  <CharactersWithSpaces>915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2022-11-07T06:57:00Z</dcterms:created>
  <dc:creator>tons15</dc:creator>
  <cp:lastModifiedBy>zhaoyonglei</cp:lastModifiedBy>
  <dcterms:modified xsi:type="dcterms:W3CDTF">2023-04-03T08:36:56Z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95DD77133FDA410FBBF5A43DF13E0EF3</vt:lpwstr>
  </property>
</Properties>
</file>