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keepNext w:val="0"/>
        <w:keepLines w:val="0"/>
        <w:pageBreakBefore w:val="0"/>
        <w:widowControl/>
        <w:numPr>
          <w:ilvl w:val="0"/>
          <w:numId w:val="0"/>
        </w:numPr>
        <w:shd w:val="clear"/>
        <w:kinsoku/>
        <w:wordWrap/>
        <w:overflowPunct/>
        <w:topLinePunct w:val="0"/>
        <w:autoSpaceDE/>
        <w:autoSpaceDN/>
        <w:bidi w:val="0"/>
        <w:adjustRightInd/>
        <w:snapToGrid/>
        <w:spacing w:beforeAutospacing="0" w:afterAutospacing="0" w:line="560" w:lineRule="exact"/>
        <w:jc w:val="left"/>
        <w:textAlignment w:val="baseline"/>
        <w:rPr>
          <w:rFonts w:hint="eastAsia" w:ascii="黑体" w:hAnsi="黑体" w:eastAsia="黑体" w:cs="黑体"/>
          <w:color w:val="000000"/>
          <w:sz w:val="32"/>
          <w:szCs w:val="32"/>
          <w:highlight w:val="none"/>
          <w:shd w:val="clear" w:color="auto" w:fill="FFFFFF"/>
          <w:lang w:val="en-US" w:eastAsia="zh-CN"/>
        </w:rPr>
      </w:pPr>
      <w:bookmarkStart w:id="0" w:name="_GoBack"/>
      <w:r>
        <w:rPr>
          <w:rFonts w:hint="eastAsia" w:ascii="黑体" w:hAnsi="黑体" w:eastAsia="黑体" w:cs="黑体"/>
          <w:color w:val="000000"/>
          <w:sz w:val="32"/>
          <w:szCs w:val="32"/>
          <w:highlight w:val="none"/>
          <w:shd w:val="clear" w:color="auto" w:fill="FFFFFF"/>
          <w:lang w:val="en-US" w:eastAsia="zh-CN"/>
        </w:rPr>
        <w:t>附件2：</w:t>
      </w:r>
    </w:p>
    <w:bookmarkEnd w:id="0"/>
    <w:p>
      <w:pPr>
        <w:pStyle w:val="8"/>
        <w:keepNext w:val="0"/>
        <w:keepLines w:val="0"/>
        <w:pageBreakBefore w:val="0"/>
        <w:widowControl/>
        <w:numPr>
          <w:ilvl w:val="0"/>
          <w:numId w:val="0"/>
        </w:numPr>
        <w:shd w:val="clear"/>
        <w:kinsoku/>
        <w:wordWrap/>
        <w:overflowPunct/>
        <w:topLinePunct w:val="0"/>
        <w:autoSpaceDE/>
        <w:autoSpaceDN/>
        <w:bidi w:val="0"/>
        <w:adjustRightInd/>
        <w:snapToGrid/>
        <w:spacing w:beforeAutospacing="0" w:afterAutospacing="0" w:line="560" w:lineRule="exact"/>
        <w:jc w:val="left"/>
        <w:textAlignment w:val="baseline"/>
        <w:rPr>
          <w:rFonts w:hint="eastAsia" w:ascii="黑体" w:hAnsi="黑体" w:eastAsia="黑体" w:cs="黑体"/>
          <w:color w:val="000000"/>
          <w:sz w:val="32"/>
          <w:szCs w:val="32"/>
          <w:highlight w:val="none"/>
          <w:shd w:val="clear" w:color="auto" w:fill="FFFFFF"/>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rPr>
        <w:t>《北京经济技术开发区关于加快推进国际科技创新中心建设</w:t>
      </w:r>
      <w:r>
        <w:rPr>
          <w:rFonts w:hint="eastAsia" w:ascii="方正小标宋简体" w:hAnsi="方正小标宋简体" w:eastAsia="方正小标宋简体" w:cs="方正小标宋简体"/>
          <w:sz w:val="44"/>
          <w:szCs w:val="44"/>
          <w:lang w:val="en-US" w:eastAsia="zh-CN"/>
        </w:rPr>
        <w:t xml:space="preserve"> </w:t>
      </w:r>
      <w:r>
        <w:rPr>
          <w:rFonts w:hint="eastAsia" w:ascii="方正小标宋简体" w:hAnsi="方正小标宋简体" w:eastAsia="方正小标宋简体" w:cs="方正小标宋简体"/>
          <w:sz w:val="44"/>
          <w:szCs w:val="44"/>
        </w:rPr>
        <w:t>打造高精尖产业主阵地的若干意见(征求意见稿)》</w:t>
      </w:r>
      <w:r>
        <w:rPr>
          <w:rFonts w:hint="eastAsia" w:ascii="方正小标宋简体" w:hAnsi="方正小标宋简体" w:eastAsia="方正小标宋简体" w:cs="方正小标宋简体"/>
          <w:sz w:val="44"/>
          <w:szCs w:val="44"/>
          <w:lang w:eastAsia="zh-CN"/>
        </w:rPr>
        <w:t>起草说明</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lang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一、制定目的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CESI仿宋-GB2312" w:eastAsia="仿宋_GB2312" w:cs="CESI仿宋-GB2312"/>
          <w:sz w:val="32"/>
          <w:szCs w:val="32"/>
          <w:lang w:eastAsia="zh-CN"/>
        </w:rPr>
      </w:pPr>
      <w:r>
        <w:rPr>
          <w:rFonts w:hint="eastAsia" w:ascii="仿宋_GB2312" w:hAnsi="CESI仿宋-GB2312" w:eastAsia="仿宋_GB2312" w:cs="CESI仿宋-GB2312"/>
          <w:sz w:val="32"/>
          <w:szCs w:val="32"/>
          <w:lang w:eastAsia="zh-CN"/>
        </w:rPr>
        <w:t>为深入实施创新驱动发展战略，落实好《北京市“十四五”时期国际科技创新中心建设规划》，围绕北京经济技术开发区“四区一阵地”定位，高质量高标准建设国际科技创新中心“三城一区”主平台，</w:t>
      </w:r>
      <w:r>
        <w:rPr>
          <w:rFonts w:hint="eastAsia" w:ascii="仿宋_GB2312" w:hAnsi="仿宋_GB2312" w:eastAsia="仿宋_GB2312" w:cs="仿宋_GB2312"/>
          <w:sz w:val="32"/>
          <w:szCs w:val="32"/>
          <w:highlight w:val="none"/>
          <w:lang w:eastAsia="zh-CN"/>
        </w:rPr>
        <w:t>《北京经济技术开发区关于加快推进国际科技创新中心建设</w:t>
      </w:r>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sz w:val="32"/>
          <w:szCs w:val="32"/>
          <w:highlight w:val="none"/>
          <w:lang w:eastAsia="zh-CN"/>
        </w:rPr>
        <w:t>打造高精尖产业主阵地的若干意见</w:t>
      </w:r>
      <w:r>
        <w:rPr>
          <w:rFonts w:hint="eastAsia" w:ascii="仿宋_GB2312" w:hAnsi="仿宋_GB2312" w:eastAsia="仿宋_GB2312" w:cs="仿宋_GB2312"/>
          <w:sz w:val="32"/>
          <w:szCs w:val="32"/>
          <w:highlight w:val="none"/>
          <w:lang w:val="en-US" w:eastAsia="zh-CN"/>
        </w:rPr>
        <w:t>（征求意见稿）</w:t>
      </w:r>
      <w:r>
        <w:rPr>
          <w:rFonts w:hint="eastAsia" w:ascii="仿宋_GB2312" w:hAnsi="仿宋_GB2312" w:eastAsia="仿宋_GB2312" w:cs="仿宋_GB2312"/>
          <w:sz w:val="32"/>
          <w:szCs w:val="32"/>
          <w:highlight w:val="none"/>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制定依据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 w:eastAsia="仿宋_GB2312" w:cs="宋体"/>
          <w:kern w:val="0"/>
          <w:sz w:val="32"/>
          <w:szCs w:val="32"/>
        </w:rPr>
        <w:t>《北京市人民政府关于加快推进北京经济技术开发区和亦庄新城高质量发展的实施意见》（京政发〔2019〕22号）</w:t>
      </w:r>
      <w:r>
        <w:rPr>
          <w:rFonts w:hint="eastAsia" w:ascii="仿宋_GB2312" w:hAnsi="??" w:eastAsia="仿宋_GB2312" w:cs="宋体"/>
          <w:kern w:val="0"/>
          <w:sz w:val="32"/>
          <w:szCs w:val="32"/>
          <w:lang w:eastAsia="zh-CN"/>
        </w:rPr>
        <w:t>、《北京市“十四五”时期国际科技创新中心建设规划》</w:t>
      </w:r>
      <w:r>
        <w:rPr>
          <w:rFonts w:hint="eastAsia" w:ascii="仿宋_GB2312" w:hAnsi="仿宋_GB2312" w:eastAsia="仿宋_GB2312" w:cs="仿宋_GB2312"/>
          <w:sz w:val="32"/>
          <w:szCs w:val="32"/>
          <w:lang w:val="en-US" w:eastAsia="zh-CN"/>
        </w:rPr>
        <w:t>、《“十四五”时期北京经济技术开发区发展建设和二〇三五年远景目标规划》、《关于贯彻新发展理念加快亦庄新城高质量发展的若干措施（3.0版）》、</w:t>
      </w:r>
      <w:r>
        <w:rPr>
          <w:rFonts w:hint="eastAsia" w:ascii="仿宋_GB2312" w:hAnsi="??" w:eastAsia="仿宋_GB2312" w:cs="宋体"/>
          <w:kern w:val="0"/>
          <w:sz w:val="32"/>
          <w:szCs w:val="32"/>
        </w:rPr>
        <w:t>《</w:t>
      </w:r>
      <w:r>
        <w:rPr>
          <w:rFonts w:hint="eastAsia" w:ascii="仿宋_GB2312" w:hAnsi="??" w:eastAsia="仿宋_GB2312" w:cs="宋体"/>
          <w:kern w:val="0"/>
          <w:sz w:val="32"/>
          <w:szCs w:val="32"/>
          <w:lang w:eastAsia="zh-CN"/>
        </w:rPr>
        <w:t>北京经济技术开发区“十四五”时期科技创新发展规划</w:t>
      </w:r>
      <w:r>
        <w:rPr>
          <w:rFonts w:hint="eastAsia" w:ascii="仿宋_GB2312" w:hAnsi="??" w:eastAsia="仿宋_GB2312" w:cs="宋体"/>
          <w:kern w:val="0"/>
          <w:sz w:val="32"/>
          <w:szCs w:val="32"/>
        </w:rPr>
        <w:t>》等法律法规和</w:t>
      </w:r>
      <w:r>
        <w:rPr>
          <w:rFonts w:hint="eastAsia" w:ascii="仿宋_GB2312" w:hAnsi="??" w:eastAsia="仿宋_GB2312" w:cs="宋体"/>
          <w:kern w:val="0"/>
          <w:sz w:val="32"/>
          <w:szCs w:val="32"/>
          <w:lang w:eastAsia="zh-CN"/>
        </w:rPr>
        <w:t>规范性文件</w:t>
      </w:r>
      <w:r>
        <w:rPr>
          <w:rFonts w:hint="eastAsia" w:ascii="仿宋_GB2312" w:hAnsi="??" w:eastAsia="仿宋_GB2312" w:cs="宋体"/>
          <w:kern w:val="0"/>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三、起草过程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 w:eastAsia="仿宋_GB2312" w:cs="宋体"/>
          <w:kern w:val="0"/>
          <w:sz w:val="32"/>
          <w:szCs w:val="32"/>
          <w:lang w:val="en-US" w:eastAsia="zh-CN"/>
        </w:rPr>
      </w:pPr>
      <w:r>
        <w:rPr>
          <w:rFonts w:hint="eastAsia" w:ascii="仿宋_GB2312" w:hAnsi="??" w:eastAsia="仿宋_GB2312" w:cs="宋体"/>
          <w:kern w:val="0"/>
          <w:sz w:val="32"/>
          <w:szCs w:val="32"/>
          <w:lang w:val="en-US" w:eastAsia="zh-CN"/>
        </w:rPr>
        <w:t>本意见由北京经济技术开发区科技创新局起草，围绕</w:t>
      </w:r>
      <w:r>
        <w:rPr>
          <w:rFonts w:hint="eastAsia" w:ascii="仿宋_GB2312" w:hAnsi="仿宋_GB2312" w:eastAsia="仿宋_GB2312" w:cs="仿宋_GB2312"/>
          <w:spacing w:val="15"/>
          <w:sz w:val="32"/>
          <w:szCs w:val="32"/>
          <w:u w:val="none"/>
        </w:rPr>
        <w:t>提升自主创新能力、激发企业创新活力、推动科技成果转化、完善创新生态链条、深化开放协同创新</w:t>
      </w:r>
      <w:r>
        <w:rPr>
          <w:rFonts w:hint="eastAsia" w:ascii="仿宋_GB2312" w:hAnsi="??" w:eastAsia="仿宋_GB2312" w:cs="宋体"/>
          <w:kern w:val="0"/>
          <w:sz w:val="32"/>
          <w:szCs w:val="32"/>
          <w:lang w:val="en-US" w:eastAsia="zh-CN"/>
        </w:rPr>
        <w:t>等五大方面制订政策措施，并征求多方意见，进行了多次修改。目前该办法已通过合法性审查、主任办公会议审议。形成了《北京经济技术开发区关于加快推进国际科技创新中心建设 打造高精尖产业主阵地的若干意见（征求意见稿）》。</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四、主要内容说明</w:t>
      </w:r>
    </w:p>
    <w:p>
      <w:pPr>
        <w:pStyle w:val="2"/>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color w:val="auto"/>
          <w:kern w:val="2"/>
          <w:sz w:val="32"/>
          <w:szCs w:val="32"/>
          <w:highlight w:val="none"/>
          <w:lang w:val="en-US" w:eastAsia="zh-CN" w:bidi="ar-SA"/>
        </w:rPr>
        <w:t>此次起草的《北京经济技术开发区关于加快推进国际科技创新中心建设 打造高精尖产业主阵地的若干意见（征求意见稿）》</w:t>
      </w:r>
      <w:r>
        <w:rPr>
          <w:rFonts w:hint="eastAsia" w:ascii="仿宋_GB2312" w:hAnsi="??" w:eastAsia="仿宋_GB2312" w:cs="宋体"/>
          <w:kern w:val="0"/>
          <w:sz w:val="32"/>
          <w:szCs w:val="32"/>
          <w:lang w:val="en-US" w:eastAsia="zh-CN"/>
        </w:rPr>
        <w:t>包括</w:t>
      </w:r>
      <w:r>
        <w:rPr>
          <w:rFonts w:hint="eastAsia" w:ascii="仿宋_GB2312" w:hAnsi="仿宋_GB2312" w:eastAsia="仿宋_GB2312" w:cs="仿宋_GB2312"/>
          <w:sz w:val="32"/>
          <w:szCs w:val="32"/>
        </w:rPr>
        <w:t>总体要求、提升自主创新能力、激发创新主体活力、加快科技成果转化、完善创新生态链条、深化开放协同创新、保障措施共七章二十五条</w:t>
      </w:r>
      <w:r>
        <w:rPr>
          <w:rFonts w:hint="eastAsia" w:ascii="仿宋_GB2312" w:hAnsi="仿宋_GB2312" w:eastAsia="仿宋_GB2312" w:cs="仿宋_GB2312"/>
          <w:sz w:val="32"/>
          <w:szCs w:val="32"/>
          <w:lang w:eastAsia="zh-CN"/>
        </w:rPr>
        <w:t>。</w:t>
      </w:r>
    </w:p>
    <w:p>
      <w:pPr>
        <w:pStyle w:val="2"/>
        <w:keepNext w:val="0"/>
        <w:keepLines w:val="0"/>
        <w:pageBreakBefore w:val="0"/>
        <w:widowControl w:val="0"/>
        <w:numPr>
          <w:ilvl w:val="0"/>
          <w:numId w:val="0"/>
        </w:numPr>
        <w:kinsoku/>
        <w:wordWrap/>
        <w:overflowPunct/>
        <w:topLinePunct w:val="0"/>
        <w:autoSpaceDE/>
        <w:autoSpaceDN/>
        <w:bidi w:val="0"/>
        <w:adjustRightInd/>
        <w:snapToGrid/>
        <w:spacing w:after="0" w:line="60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val="0"/>
          <w:sz w:val="32"/>
          <w:szCs w:val="32"/>
          <w:lang w:eastAsia="zh-CN"/>
        </w:rPr>
        <w:t>第一章，</w:t>
      </w:r>
      <w:r>
        <w:rPr>
          <w:rFonts w:hint="eastAsia" w:ascii="仿宋_GB2312" w:hAnsi="仿宋_GB2312" w:eastAsia="仿宋_GB2312" w:cs="仿宋_GB2312"/>
          <w:b w:val="0"/>
          <w:bCs w:val="0"/>
          <w:sz w:val="32"/>
          <w:szCs w:val="32"/>
        </w:rPr>
        <w:t>总体要求。</w:t>
      </w:r>
      <w:r>
        <w:rPr>
          <w:rFonts w:hint="eastAsia" w:ascii="仿宋_GB2312" w:hAnsi="仿宋_GB2312" w:eastAsia="仿宋_GB2312" w:cs="仿宋_GB2312"/>
          <w:sz w:val="32"/>
          <w:szCs w:val="32"/>
        </w:rPr>
        <w:t>明确了指导思想和发展目标。到2025年</w:t>
      </w:r>
      <w:r>
        <w:rPr>
          <w:rFonts w:hint="eastAsia" w:ascii="仿宋_GB2312" w:hAnsi="仿宋_GB2312" w:eastAsia="仿宋_GB2312" w:cs="仿宋_GB2312"/>
          <w:sz w:val="32"/>
          <w:szCs w:val="32"/>
          <w:lang w:eastAsia="zh-CN"/>
        </w:rPr>
        <w:t>，产生一批高价值知识产权成果，突破一批“卡脖子”关键核心技术，培育一批硬核创新型企业，打造国际一流创新产业生态，成为北京科技和产业创新的开路先锋。</w:t>
      </w:r>
    </w:p>
    <w:p>
      <w:pPr>
        <w:pStyle w:val="2"/>
        <w:keepNext w:val="0"/>
        <w:keepLines w:val="0"/>
        <w:pageBreakBefore w:val="0"/>
        <w:widowControl w:val="0"/>
        <w:numPr>
          <w:ilvl w:val="0"/>
          <w:numId w:val="0"/>
        </w:numPr>
        <w:kinsoku/>
        <w:wordWrap/>
        <w:overflowPunct/>
        <w:topLinePunct w:val="0"/>
        <w:autoSpaceDE/>
        <w:autoSpaceDN/>
        <w:bidi w:val="0"/>
        <w:adjustRightInd/>
        <w:snapToGrid/>
        <w:spacing w:after="0" w:line="60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eastAsia="zh-CN"/>
        </w:rPr>
        <w:t>第二章，</w:t>
      </w:r>
      <w:r>
        <w:rPr>
          <w:rFonts w:hint="default" w:ascii="仿宋_GB2312" w:hAnsi="仿宋_GB2312" w:eastAsia="仿宋_GB2312" w:cs="仿宋_GB2312"/>
          <w:b w:val="0"/>
          <w:bCs w:val="0"/>
          <w:sz w:val="32"/>
          <w:szCs w:val="32"/>
          <w:lang w:val="en-US" w:eastAsia="zh-CN"/>
        </w:rPr>
        <w:t>提升自主创新能力</w:t>
      </w:r>
      <w:r>
        <w:rPr>
          <w:rFonts w:hint="eastAsia" w:ascii="仿宋_GB2312" w:hAnsi="仿宋_GB2312" w:eastAsia="仿宋_GB2312" w:cs="仿宋_GB2312"/>
          <w:b w:val="0"/>
          <w:bCs w:val="0"/>
          <w:sz w:val="32"/>
          <w:szCs w:val="32"/>
          <w:lang w:val="en-US" w:eastAsia="zh-CN"/>
        </w:rPr>
        <w:t>。分别从</w:t>
      </w:r>
      <w:r>
        <w:rPr>
          <w:rFonts w:hint="eastAsia" w:ascii="仿宋_GB2312" w:hAnsi="仿宋_GB2312" w:eastAsia="仿宋_GB2312" w:cs="仿宋_GB2312"/>
          <w:b w:val="0"/>
          <w:bCs w:val="0"/>
          <w:sz w:val="32"/>
          <w:szCs w:val="32"/>
        </w:rPr>
        <w:t>强化国家战略使命担当</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探索</w:t>
      </w:r>
      <w:r>
        <w:rPr>
          <w:rFonts w:hint="eastAsia" w:ascii="仿宋_GB2312" w:hAnsi="仿宋_GB2312" w:eastAsia="仿宋_GB2312" w:cs="仿宋_GB2312"/>
          <w:b w:val="0"/>
          <w:bCs w:val="0"/>
          <w:sz w:val="32"/>
          <w:szCs w:val="32"/>
          <w:lang w:eastAsia="zh-CN"/>
        </w:rPr>
        <w:t>关键核心</w:t>
      </w:r>
      <w:r>
        <w:rPr>
          <w:rFonts w:hint="eastAsia" w:ascii="仿宋_GB2312" w:hAnsi="仿宋_GB2312" w:eastAsia="仿宋_GB2312" w:cs="仿宋_GB2312"/>
          <w:b w:val="0"/>
          <w:bCs w:val="0"/>
          <w:sz w:val="32"/>
          <w:szCs w:val="32"/>
        </w:rPr>
        <w:t>技术</w:t>
      </w:r>
      <w:r>
        <w:rPr>
          <w:rFonts w:hint="eastAsia" w:ascii="仿宋_GB2312" w:hAnsi="仿宋_GB2312" w:eastAsia="仿宋_GB2312" w:cs="仿宋_GB2312"/>
          <w:b w:val="0"/>
          <w:bCs w:val="0"/>
          <w:sz w:val="32"/>
          <w:szCs w:val="32"/>
          <w:lang w:eastAsia="zh-CN"/>
        </w:rPr>
        <w:t>联合</w:t>
      </w:r>
      <w:r>
        <w:rPr>
          <w:rFonts w:hint="eastAsia" w:ascii="仿宋_GB2312" w:hAnsi="仿宋_GB2312" w:eastAsia="仿宋_GB2312" w:cs="仿宋_GB2312"/>
          <w:b w:val="0"/>
          <w:bCs w:val="0"/>
          <w:sz w:val="32"/>
          <w:szCs w:val="32"/>
        </w:rPr>
        <w:t>攻关</w:t>
      </w:r>
      <w:r>
        <w:rPr>
          <w:rFonts w:hint="eastAsia" w:ascii="仿宋_GB2312" w:hAnsi="仿宋_GB2312" w:eastAsia="仿宋_GB2312" w:cs="仿宋_GB2312"/>
          <w:b w:val="0"/>
          <w:bCs w:val="0"/>
          <w:sz w:val="32"/>
          <w:szCs w:val="32"/>
          <w:lang w:eastAsia="zh-CN"/>
        </w:rPr>
        <w:t>机</w:t>
      </w:r>
      <w:r>
        <w:rPr>
          <w:rFonts w:hint="eastAsia" w:ascii="仿宋_GB2312" w:hAnsi="仿宋_GB2312" w:eastAsia="仿宋_GB2312" w:cs="仿宋_GB2312"/>
          <w:b w:val="0"/>
          <w:bCs w:val="0"/>
          <w:sz w:val="32"/>
          <w:szCs w:val="32"/>
        </w:rPr>
        <w:t>制</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突出企业创新主体地位</w:t>
      </w:r>
      <w:r>
        <w:rPr>
          <w:rFonts w:hint="eastAsia" w:ascii="仿宋_GB2312" w:hAnsi="仿宋_GB2312" w:eastAsia="仿宋_GB2312" w:cs="仿宋_GB2312"/>
          <w:b w:val="0"/>
          <w:bCs w:val="0"/>
          <w:sz w:val="32"/>
          <w:szCs w:val="32"/>
          <w:lang w:eastAsia="zh-CN"/>
        </w:rPr>
        <w:t>三个部分制订支持政策。</w:t>
      </w:r>
    </w:p>
    <w:p>
      <w:pPr>
        <w:pStyle w:val="2"/>
        <w:keepNext w:val="0"/>
        <w:keepLines w:val="0"/>
        <w:pageBreakBefore w:val="0"/>
        <w:widowControl w:val="0"/>
        <w:numPr>
          <w:ilvl w:val="0"/>
          <w:numId w:val="0"/>
        </w:numPr>
        <w:kinsoku/>
        <w:wordWrap/>
        <w:overflowPunct/>
        <w:topLinePunct w:val="0"/>
        <w:autoSpaceDE/>
        <w:autoSpaceDN/>
        <w:bidi w:val="0"/>
        <w:adjustRightInd/>
        <w:snapToGrid/>
        <w:spacing w:after="0" w:line="600" w:lineRule="exact"/>
        <w:ind w:firstLine="640" w:firstLineChars="200"/>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eastAsia="zh-CN"/>
        </w:rPr>
        <w:t>第三章，</w:t>
      </w:r>
      <w:r>
        <w:rPr>
          <w:rFonts w:hint="eastAsia" w:ascii="仿宋_GB2312" w:hAnsi="仿宋_GB2312" w:eastAsia="仿宋_GB2312" w:cs="仿宋_GB2312"/>
          <w:b w:val="0"/>
          <w:bCs w:val="0"/>
          <w:sz w:val="32"/>
          <w:szCs w:val="32"/>
        </w:rPr>
        <w:t>激发创新主体活力</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分别从</w:t>
      </w:r>
      <w:r>
        <w:rPr>
          <w:rFonts w:hint="eastAsia" w:ascii="仿宋_GB2312" w:hAnsi="仿宋_GB2312" w:eastAsia="仿宋_GB2312" w:cs="仿宋_GB2312"/>
          <w:b w:val="0"/>
          <w:bCs w:val="0"/>
          <w:sz w:val="32"/>
          <w:szCs w:val="32"/>
          <w:lang w:eastAsia="zh-CN"/>
        </w:rPr>
        <w:t>支持领军企业形成国家战略科技力量、</w:t>
      </w:r>
      <w:r>
        <w:rPr>
          <w:rFonts w:hint="eastAsia" w:ascii="仿宋_GB2312" w:hAnsi="仿宋_GB2312" w:eastAsia="仿宋_GB2312" w:cs="仿宋_GB2312"/>
          <w:b w:val="0"/>
          <w:bCs w:val="0"/>
          <w:sz w:val="32"/>
          <w:szCs w:val="32"/>
        </w:rPr>
        <w:t>打造企业开放创新中心</w:t>
      </w:r>
      <w:r>
        <w:rPr>
          <w:rFonts w:hint="eastAsia" w:ascii="仿宋_GB2312" w:hAnsi="仿宋_GB2312" w:eastAsia="仿宋_GB2312" w:cs="仿宋_GB2312"/>
          <w:b w:val="0"/>
          <w:bCs w:val="0"/>
          <w:sz w:val="32"/>
          <w:szCs w:val="32"/>
          <w:lang w:eastAsia="zh-CN"/>
        </w:rPr>
        <w:t>、培育高能级创新主体、</w:t>
      </w:r>
      <w:r>
        <w:rPr>
          <w:rFonts w:hint="eastAsia" w:ascii="仿宋_GB2312" w:hAnsi="仿宋_GB2312" w:eastAsia="仿宋_GB2312" w:cs="仿宋_GB2312"/>
          <w:b w:val="0"/>
          <w:bCs w:val="0"/>
          <w:sz w:val="32"/>
          <w:szCs w:val="32"/>
        </w:rPr>
        <w:t>培育硬核创新型企业</w:t>
      </w:r>
      <w:r>
        <w:rPr>
          <w:rFonts w:hint="eastAsia" w:ascii="仿宋_GB2312" w:hAnsi="仿宋_GB2312" w:eastAsia="仿宋_GB2312" w:cs="仿宋_GB2312"/>
          <w:b w:val="0"/>
          <w:bCs w:val="0"/>
          <w:sz w:val="32"/>
          <w:szCs w:val="32"/>
          <w:lang w:eastAsia="zh-CN"/>
        </w:rPr>
        <w:t>、</w:t>
      </w:r>
      <w:r>
        <w:rPr>
          <w:rFonts w:hint="eastAsia" w:ascii="Times New Roman" w:hAnsi="Times New Roman" w:eastAsia="仿宋_GB2312"/>
          <w:b w:val="0"/>
          <w:bCs w:val="0"/>
          <w:sz w:val="32"/>
          <w:szCs w:val="32"/>
        </w:rPr>
        <w:t>支持企业数字化智能化转型</w:t>
      </w:r>
      <w:r>
        <w:rPr>
          <w:rFonts w:hint="eastAsia" w:eastAsia="仿宋_GB2312"/>
          <w:b w:val="0"/>
          <w:bCs w:val="0"/>
          <w:sz w:val="32"/>
          <w:szCs w:val="32"/>
          <w:lang w:eastAsia="zh-CN"/>
        </w:rPr>
        <w:t>、</w:t>
      </w:r>
      <w:r>
        <w:rPr>
          <w:rFonts w:hint="eastAsia" w:ascii="仿宋_GB2312" w:hAnsi="仿宋_GB2312" w:eastAsia="仿宋_GB2312" w:cs="仿宋_GB2312"/>
          <w:b w:val="0"/>
          <w:bCs w:val="0"/>
          <w:sz w:val="32"/>
          <w:szCs w:val="32"/>
        </w:rPr>
        <w:t>支持优势企业拔节成长</w:t>
      </w:r>
      <w:r>
        <w:rPr>
          <w:rFonts w:hint="eastAsia" w:ascii="仿宋_GB2312" w:hAnsi="仿宋_GB2312" w:eastAsia="仿宋_GB2312" w:cs="仿宋_GB2312"/>
          <w:b w:val="0"/>
          <w:bCs w:val="0"/>
          <w:sz w:val="32"/>
          <w:szCs w:val="32"/>
          <w:lang w:eastAsia="zh-CN"/>
        </w:rPr>
        <w:t>六个部分制订支持政策。</w:t>
      </w:r>
    </w:p>
    <w:p>
      <w:pPr>
        <w:pStyle w:val="2"/>
        <w:keepNext w:val="0"/>
        <w:keepLines w:val="0"/>
        <w:pageBreakBefore w:val="0"/>
        <w:widowControl w:val="0"/>
        <w:numPr>
          <w:ilvl w:val="0"/>
          <w:numId w:val="0"/>
        </w:numPr>
        <w:kinsoku/>
        <w:wordWrap/>
        <w:overflowPunct/>
        <w:topLinePunct w:val="0"/>
        <w:autoSpaceDE/>
        <w:autoSpaceDN/>
        <w:bidi w:val="0"/>
        <w:adjustRightInd/>
        <w:snapToGrid/>
        <w:spacing w:after="0" w:line="600" w:lineRule="exact"/>
        <w:ind w:firstLine="640" w:firstLineChars="200"/>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eastAsia="zh-CN"/>
        </w:rPr>
        <w:t>第四章，</w:t>
      </w:r>
      <w:r>
        <w:rPr>
          <w:rFonts w:hint="eastAsia" w:ascii="仿宋_GB2312" w:hAnsi="仿宋_GB2312" w:eastAsia="仿宋_GB2312" w:cs="仿宋_GB2312"/>
          <w:b w:val="0"/>
          <w:bCs w:val="0"/>
          <w:sz w:val="32"/>
          <w:szCs w:val="32"/>
        </w:rPr>
        <w:t>加快科技成果转化</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分别从</w:t>
      </w:r>
      <w:r>
        <w:rPr>
          <w:rFonts w:hint="eastAsia" w:ascii="仿宋_GB2312" w:hAnsi="仿宋_GB2312" w:eastAsia="仿宋_GB2312" w:cs="仿宋_GB2312"/>
          <w:b w:val="0"/>
          <w:bCs w:val="0"/>
          <w:sz w:val="32"/>
          <w:szCs w:val="32"/>
          <w:lang w:eastAsia="zh-CN"/>
        </w:rPr>
        <w:t>打造科技成果转移转化新标杆、</w:t>
      </w:r>
      <w:r>
        <w:rPr>
          <w:rFonts w:hint="eastAsia" w:ascii="仿宋_GB2312" w:hAnsi="仿宋_GB2312" w:eastAsia="仿宋_GB2312" w:cs="仿宋_GB2312"/>
          <w:b w:val="0"/>
          <w:bCs w:val="0"/>
          <w:sz w:val="32"/>
          <w:szCs w:val="32"/>
        </w:rPr>
        <w:t>推动产学研</w:t>
      </w:r>
      <w:r>
        <w:rPr>
          <w:rFonts w:hint="eastAsia" w:ascii="仿宋_GB2312" w:hAnsi="仿宋_GB2312" w:eastAsia="仿宋_GB2312" w:cs="仿宋_GB2312"/>
          <w:b w:val="0"/>
          <w:bCs w:val="0"/>
          <w:sz w:val="32"/>
          <w:szCs w:val="32"/>
          <w:lang w:eastAsia="zh-CN"/>
        </w:rPr>
        <w:t>一体化高效</w:t>
      </w:r>
      <w:r>
        <w:rPr>
          <w:rFonts w:hint="eastAsia" w:ascii="仿宋_GB2312" w:hAnsi="仿宋_GB2312" w:eastAsia="仿宋_GB2312" w:cs="仿宋_GB2312"/>
          <w:b w:val="0"/>
          <w:bCs w:val="0"/>
          <w:sz w:val="32"/>
          <w:szCs w:val="32"/>
        </w:rPr>
        <w:t>协同</w:t>
      </w:r>
      <w:r>
        <w:rPr>
          <w:rFonts w:hint="eastAsia" w:ascii="仿宋_GB2312" w:hAnsi="仿宋_GB2312" w:eastAsia="仿宋_GB2312" w:cs="仿宋_GB2312"/>
          <w:b w:val="0"/>
          <w:bCs w:val="0"/>
          <w:sz w:val="32"/>
          <w:szCs w:val="32"/>
          <w:lang w:eastAsia="zh-CN"/>
        </w:rPr>
        <w:t>、强化产业共性技术支撑能力、支持企业开展颠覆性领跑技术研发、打造全场景智慧城市五个部分制订支持政策。</w:t>
      </w:r>
    </w:p>
    <w:p>
      <w:pPr>
        <w:pStyle w:val="2"/>
        <w:keepNext w:val="0"/>
        <w:keepLines w:val="0"/>
        <w:pageBreakBefore w:val="0"/>
        <w:widowControl w:val="0"/>
        <w:numPr>
          <w:ilvl w:val="0"/>
          <w:numId w:val="0"/>
        </w:numPr>
        <w:kinsoku/>
        <w:wordWrap/>
        <w:overflowPunct/>
        <w:topLinePunct w:val="0"/>
        <w:autoSpaceDE/>
        <w:autoSpaceDN/>
        <w:bidi w:val="0"/>
        <w:adjustRightInd/>
        <w:snapToGrid/>
        <w:spacing w:after="0" w:line="600" w:lineRule="exact"/>
        <w:ind w:firstLine="640" w:firstLineChars="200"/>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eastAsia="zh-CN"/>
        </w:rPr>
        <w:t>第五章，</w:t>
      </w:r>
      <w:r>
        <w:rPr>
          <w:rFonts w:hint="eastAsia" w:ascii="仿宋_GB2312" w:hAnsi="仿宋_GB2312" w:eastAsia="仿宋_GB2312" w:cs="仿宋_GB2312"/>
          <w:b w:val="0"/>
          <w:bCs w:val="0"/>
          <w:sz w:val="32"/>
          <w:szCs w:val="32"/>
        </w:rPr>
        <w:t>完善创新生态链条</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分别从</w:t>
      </w:r>
      <w:r>
        <w:rPr>
          <w:rFonts w:hint="eastAsia" w:ascii="仿宋_GB2312" w:hAnsi="仿宋_GB2312" w:eastAsia="仿宋_GB2312" w:cs="仿宋_GB2312"/>
          <w:b w:val="0"/>
          <w:bCs w:val="0"/>
          <w:sz w:val="32"/>
          <w:szCs w:val="32"/>
        </w:rPr>
        <w:t>发挥财政资金引导作用</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强化科技金融赋能能力</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打造全球创新人才聚集高地</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完善知识产权保护和运用体系</w:t>
      </w:r>
      <w:r>
        <w:rPr>
          <w:rFonts w:hint="eastAsia" w:ascii="仿宋_GB2312" w:hAnsi="仿宋_GB2312" w:eastAsia="仿宋_GB2312" w:cs="仿宋_GB2312"/>
          <w:b w:val="0"/>
          <w:bCs w:val="0"/>
          <w:sz w:val="32"/>
          <w:szCs w:val="32"/>
          <w:lang w:eastAsia="zh-CN"/>
        </w:rPr>
        <w:t>四个部分制订支持政策。</w:t>
      </w:r>
    </w:p>
    <w:p>
      <w:pPr>
        <w:pStyle w:val="2"/>
        <w:keepNext w:val="0"/>
        <w:keepLines w:val="0"/>
        <w:pageBreakBefore w:val="0"/>
        <w:widowControl w:val="0"/>
        <w:numPr>
          <w:ilvl w:val="0"/>
          <w:numId w:val="0"/>
        </w:numPr>
        <w:kinsoku/>
        <w:wordWrap/>
        <w:overflowPunct/>
        <w:topLinePunct w:val="0"/>
        <w:autoSpaceDE/>
        <w:autoSpaceDN/>
        <w:bidi w:val="0"/>
        <w:adjustRightInd/>
        <w:snapToGrid/>
        <w:spacing w:after="0" w:line="600" w:lineRule="exact"/>
        <w:ind w:firstLine="640" w:firstLineChars="200"/>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eastAsia="zh-CN"/>
        </w:rPr>
        <w:t>第六章，</w:t>
      </w:r>
      <w:r>
        <w:rPr>
          <w:rFonts w:hint="eastAsia" w:ascii="仿宋_GB2312" w:hAnsi="仿宋_GB2312" w:eastAsia="仿宋_GB2312" w:cs="仿宋_GB2312"/>
          <w:b w:val="0"/>
          <w:bCs w:val="0"/>
          <w:sz w:val="32"/>
          <w:szCs w:val="32"/>
        </w:rPr>
        <w:t>深化开放协同创新</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分别从</w:t>
      </w:r>
      <w:r>
        <w:rPr>
          <w:rFonts w:hint="eastAsia" w:ascii="仿宋_GB2312" w:hAnsi="仿宋_GB2312" w:eastAsia="仿宋_GB2312" w:cs="仿宋_GB2312"/>
          <w:b w:val="0"/>
          <w:bCs w:val="0"/>
          <w:sz w:val="32"/>
          <w:szCs w:val="32"/>
        </w:rPr>
        <w:t>积极融入全球创新网络</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打造区域协同创新共同体</w:t>
      </w:r>
      <w:r>
        <w:rPr>
          <w:rFonts w:hint="eastAsia" w:ascii="仿宋_GB2312" w:hAnsi="仿宋_GB2312" w:eastAsia="仿宋_GB2312" w:cs="仿宋_GB2312"/>
          <w:b w:val="0"/>
          <w:bCs w:val="0"/>
          <w:sz w:val="32"/>
          <w:szCs w:val="32"/>
          <w:lang w:eastAsia="zh-CN"/>
        </w:rPr>
        <w:t>两个部分制订支持政策。</w:t>
      </w:r>
    </w:p>
    <w:p>
      <w:pPr>
        <w:pStyle w:val="2"/>
        <w:keepNext w:val="0"/>
        <w:keepLines w:val="0"/>
        <w:pageBreakBefore w:val="0"/>
        <w:widowControl w:val="0"/>
        <w:numPr>
          <w:ilvl w:val="0"/>
          <w:numId w:val="0"/>
        </w:numPr>
        <w:kinsoku/>
        <w:wordWrap/>
        <w:overflowPunct/>
        <w:topLinePunct w:val="0"/>
        <w:autoSpaceDE/>
        <w:autoSpaceDN/>
        <w:bidi w:val="0"/>
        <w:adjustRightInd/>
        <w:snapToGrid/>
        <w:spacing w:after="0" w:line="600" w:lineRule="exact"/>
        <w:ind w:firstLine="640" w:firstLineChars="200"/>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eastAsia="zh-CN"/>
        </w:rPr>
        <w:t>第七章，</w:t>
      </w:r>
      <w:r>
        <w:rPr>
          <w:rFonts w:hint="default" w:ascii="仿宋_GB2312" w:hAnsi="仿宋_GB2312" w:eastAsia="仿宋_GB2312" w:cs="仿宋_GB2312"/>
          <w:b w:val="0"/>
          <w:bCs w:val="0"/>
          <w:sz w:val="32"/>
          <w:szCs w:val="32"/>
          <w:lang w:val="en-US" w:eastAsia="zh-CN"/>
        </w:rPr>
        <w:t>保障措施。通过加强组织领导、完善评价制度、弘扬创新文化三个方面，确保各项政策落地落实。</w:t>
      </w:r>
    </w:p>
    <w:p>
      <w:pPr>
        <w:spacing w:line="580" w:lineRule="exact"/>
        <w:ind w:firstLine="960" w:firstLineChars="300"/>
        <w:jc w:val="center"/>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 xml:space="preserve">    </w:t>
      </w:r>
    </w:p>
    <w:p>
      <w:pPr>
        <w:spacing w:line="580" w:lineRule="exact"/>
        <w:ind w:firstLine="960" w:firstLineChars="300"/>
        <w:jc w:val="center"/>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 xml:space="preserve">        </w:t>
      </w:r>
    </w:p>
    <w:p>
      <w:pPr>
        <w:spacing w:line="580" w:lineRule="exact"/>
        <w:ind w:firstLine="960" w:firstLineChars="300"/>
        <w:jc w:val="center"/>
        <w:rPr>
          <w:rFonts w:hint="eastAsia"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北京经济技术开发区管理委员会</w:t>
      </w:r>
    </w:p>
    <w:p>
      <w:pPr>
        <w:spacing w:line="580" w:lineRule="exact"/>
        <w:ind w:firstLine="4480" w:firstLineChars="1400"/>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rPr>
        <w:t>2021年</w:t>
      </w:r>
      <w:r>
        <w:rPr>
          <w:rFonts w:hint="eastAsia" w:ascii="仿宋_GB2312" w:hAnsi="仿宋_GB2312" w:eastAsia="仿宋_GB2312" w:cs="仿宋_GB2312"/>
          <w:kern w:val="0"/>
          <w:sz w:val="32"/>
          <w:szCs w:val="32"/>
          <w:lang w:val="en-US" w:eastAsia="zh-CN"/>
        </w:rPr>
        <w:t>12</w:t>
      </w:r>
      <w:r>
        <w:rPr>
          <w:rFonts w:hint="eastAsia" w:ascii="仿宋_GB2312" w:hAnsi="仿宋_GB2312" w:eastAsia="仿宋_GB2312" w:cs="仿宋_GB2312"/>
          <w:kern w:val="0"/>
          <w:sz w:val="32"/>
          <w:szCs w:val="32"/>
        </w:rPr>
        <w:t>月</w:t>
      </w:r>
      <w:r>
        <w:rPr>
          <w:rFonts w:hint="eastAsia" w:ascii="仿宋_GB2312" w:hAnsi="仿宋_GB2312" w:eastAsia="仿宋_GB2312" w:cs="仿宋_GB2312"/>
          <w:kern w:val="0"/>
          <w:sz w:val="32"/>
          <w:szCs w:val="32"/>
          <w:lang w:val="en-US" w:eastAsia="zh-CN"/>
        </w:rPr>
        <w:t>9</w:t>
      </w:r>
      <w:r>
        <w:rPr>
          <w:rFonts w:hint="eastAsia" w:ascii="仿宋_GB2312" w:hAnsi="仿宋_GB2312" w:eastAsia="仿宋_GB2312" w:cs="仿宋_GB2312"/>
          <w:kern w:val="0"/>
          <w:sz w:val="32"/>
          <w:szCs w:val="32"/>
        </w:rPr>
        <w:t xml:space="preserve">日 </w:t>
      </w:r>
    </w:p>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2010600030101010101"/>
    <w:charset w:val="86"/>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Arial Unicode MS">
    <w:altName w:val="DejaVu Sans"/>
    <w:panose1 w:val="020B0604020202020204"/>
    <w:charset w:val="86"/>
    <w:family w:val="roman"/>
    <w:pitch w:val="default"/>
    <w:sig w:usb0="00000000" w:usb1="00000000" w:usb2="0000003F" w:usb3="00000000" w:csb0="603F01FF" w:csb1="FFFF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CESI仿宋-GB2312">
    <w:panose1 w:val="02000500000000000000"/>
    <w:charset w:val="86"/>
    <w:family w:val="auto"/>
    <w:pitch w:val="default"/>
    <w:sig w:usb0="800002AF" w:usb1="084F6CF8" w:usb2="00000010" w:usb3="00000000" w:csb0="0004000F" w:csb1="00000000"/>
  </w:font>
  <w:font w:name="??">
    <w:altName w:val="DejaVu Math TeX Gyre"/>
    <w:panose1 w:val="00000000000000000000"/>
    <w:charset w:val="00"/>
    <w:family w:val="roman"/>
    <w:pitch w:val="default"/>
    <w:sig w:usb0="00000000" w:usb1="00000000" w:usb2="00000000" w:usb3="00000000" w:csb0="00000001"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DejaVu Math TeX Gyre">
    <w:panose1 w:val="02000503000000000000"/>
    <w:charset w:val="00"/>
    <w:family w:val="auto"/>
    <w:pitch w:val="default"/>
    <w:sig w:usb0="A10000EF" w:usb1="4201F9EE" w:usb2="02000000" w:usb3="00000000" w:csb0="60000193" w:csb1="0DD4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D40597"/>
    <w:multiLevelType w:val="singleLevel"/>
    <w:tmpl w:val="FCD40597"/>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documentProtection w:enforcement="0"/>
  <w:defaultTabStop w:val="420"/>
  <w:hyphenationZone w:val="36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F76F694"/>
    <w:rsid w:val="07360EB8"/>
    <w:rsid w:val="12FDB3E4"/>
    <w:rsid w:val="2B3EFF72"/>
    <w:rsid w:val="2F7D0C19"/>
    <w:rsid w:val="3C9B93D0"/>
    <w:rsid w:val="3F666B2F"/>
    <w:rsid w:val="454B7793"/>
    <w:rsid w:val="4AFE1486"/>
    <w:rsid w:val="4AFF819A"/>
    <w:rsid w:val="4DFA3D27"/>
    <w:rsid w:val="55EF357F"/>
    <w:rsid w:val="57DFCB58"/>
    <w:rsid w:val="5FB69BDF"/>
    <w:rsid w:val="5FFFA3AC"/>
    <w:rsid w:val="656FA37C"/>
    <w:rsid w:val="679B8077"/>
    <w:rsid w:val="68DF7A25"/>
    <w:rsid w:val="6E7F87C8"/>
    <w:rsid w:val="6EF794FC"/>
    <w:rsid w:val="6FACB849"/>
    <w:rsid w:val="705508C7"/>
    <w:rsid w:val="77FF25D9"/>
    <w:rsid w:val="7AFFCA98"/>
    <w:rsid w:val="7B6F3D04"/>
    <w:rsid w:val="7BAD52BC"/>
    <w:rsid w:val="7BB7D6E0"/>
    <w:rsid w:val="7BFDE788"/>
    <w:rsid w:val="7E62C8B1"/>
    <w:rsid w:val="7E9EBE35"/>
    <w:rsid w:val="7FB7120F"/>
    <w:rsid w:val="7FBBEC0E"/>
    <w:rsid w:val="7FBD1E28"/>
    <w:rsid w:val="7FBF03A6"/>
    <w:rsid w:val="7FFD5D67"/>
    <w:rsid w:val="8FFF3C39"/>
    <w:rsid w:val="9FBC45B7"/>
    <w:rsid w:val="9FBF02E9"/>
    <w:rsid w:val="9FF9DD1F"/>
    <w:rsid w:val="ADD5D569"/>
    <w:rsid w:val="B73FE793"/>
    <w:rsid w:val="B7DE1E73"/>
    <w:rsid w:val="BB7FFFCD"/>
    <w:rsid w:val="BEDF85B1"/>
    <w:rsid w:val="BFB679F9"/>
    <w:rsid w:val="C7DF5A9E"/>
    <w:rsid w:val="CFB2FDEA"/>
    <w:rsid w:val="D12E4AD7"/>
    <w:rsid w:val="D3EFBF4B"/>
    <w:rsid w:val="D4327EE7"/>
    <w:rsid w:val="D7B7F220"/>
    <w:rsid w:val="DFDF391F"/>
    <w:rsid w:val="E5FB728B"/>
    <w:rsid w:val="E64FBC3F"/>
    <w:rsid w:val="E96F7951"/>
    <w:rsid w:val="ED35958D"/>
    <w:rsid w:val="F2CD431E"/>
    <w:rsid w:val="F5BDFA73"/>
    <w:rsid w:val="F76DE6E6"/>
    <w:rsid w:val="F7E74545"/>
    <w:rsid w:val="F7EAECA3"/>
    <w:rsid w:val="FBF3F18B"/>
    <w:rsid w:val="FEFFEB2E"/>
    <w:rsid w:val="FF1F32C4"/>
    <w:rsid w:val="FF76F694"/>
    <w:rsid w:val="FF8D1B19"/>
    <w:rsid w:val="FF9BA76E"/>
    <w:rsid w:val="FFF7FDA6"/>
    <w:rsid w:val="FFFCF31F"/>
    <w:rsid w:val="FFFE743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99"/>
    <w:pPr>
      <w:widowControl w:val="0"/>
      <w:ind w:firstLine="1120" w:firstLineChars="200"/>
      <w:jc w:val="both"/>
    </w:pPr>
    <w:rPr>
      <w:rFonts w:ascii="Times New Roman" w:hAnsi="Times New Roman" w:eastAsia="Arial Unicode MS" w:cs="Arial Unicode MS"/>
      <w:color w:val="000000"/>
      <w:kern w:val="2"/>
      <w:sz w:val="21"/>
      <w:szCs w:val="21"/>
      <w:lang w:val="en-US" w:eastAsia="zh-CN" w:bidi="ar-SA"/>
    </w:rPr>
  </w:style>
  <w:style w:type="paragraph" w:styleId="3">
    <w:name w:val="Body Text Indent"/>
    <w:basedOn w:val="1"/>
    <w:qFormat/>
    <w:uiPriority w:val="0"/>
    <w:pPr>
      <w:spacing w:after="120"/>
      <w:ind w:left="420" w:leftChars="200"/>
    </w:p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8">
    <w:name w:val="Normal (Web)"/>
    <w:basedOn w:val="1"/>
    <w:qFormat/>
    <w:uiPriority w:val="0"/>
    <w:pPr>
      <w:spacing w:beforeAutospacing="1" w:afterAutospacing="1"/>
      <w:jc w:val="left"/>
    </w:pPr>
    <w:rPr>
      <w:rFonts w:cs="Times New Roman"/>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2021-11-01T10:31:00Z</dcterms:created>
  <dc:creator>BDA</dc:creator>
  <cp:lastModifiedBy>BDA</cp:lastModifiedBy>
  <cp:lastPrinted>2021-12-09T12:59:07Z</cp:lastPrinted>
  <dcterms:modified xsi:type="dcterms:W3CDTF">2021-12-09T13:03:04Z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