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rPr>
          <w:rFonts w:ascii="仿宋" w:hAnsi="仿宋" w:eastAsia="仿宋"/>
          <w:bCs/>
          <w:caps/>
          <w:kern w:val="0"/>
          <w:sz w:val="30"/>
          <w:szCs w:val="30"/>
        </w:rPr>
      </w:pPr>
    </w:p>
    <w:p>
      <w:pPr>
        <w:adjustRightInd w:val="0"/>
        <w:snapToGrid w:val="0"/>
        <w:spacing w:line="560" w:lineRule="exact"/>
        <w:jc w:val="center"/>
        <w:rPr>
          <w:rFonts w:hint="eastAsia" w:ascii="方正小标宋_GBK" w:hAnsi="方正小标宋_GBK" w:eastAsia="方正小标宋_GBK" w:cs="Arial"/>
          <w:color w:val="000000" w:themeColor="text1"/>
          <w:kern w:val="0"/>
          <w:sz w:val="44"/>
          <w:szCs w:val="32"/>
          <w14:textFill>
            <w14:solidFill>
              <w14:schemeClr w14:val="tx1"/>
            </w14:solidFill>
          </w14:textFill>
        </w:rPr>
      </w:pPr>
      <w:r>
        <w:rPr>
          <w:rFonts w:ascii="方正小标宋_GBK" w:hAnsi="方正小标宋_GBK" w:eastAsia="方正小标宋_GBK" w:cs="Arial"/>
          <w:color w:val="000000" w:themeColor="text1"/>
          <w:kern w:val="0"/>
          <w:sz w:val="44"/>
          <w:szCs w:val="32"/>
          <w14:textFill>
            <w14:solidFill>
              <w14:schemeClr w14:val="tx1"/>
            </w14:solidFill>
          </w14:textFill>
        </w:rPr>
        <w:t>北京经济技术开发区土地精细化管理</w:t>
      </w:r>
      <w:r>
        <w:rPr>
          <w:rFonts w:hint="eastAsia" w:ascii="方正小标宋_GBK" w:hAnsi="方正小标宋_GBK" w:eastAsia="方正小标宋_GBK" w:cs="Arial"/>
          <w:color w:val="000000" w:themeColor="text1"/>
          <w:kern w:val="0"/>
          <w:sz w:val="44"/>
          <w:szCs w:val="32"/>
          <w14:textFill>
            <w14:solidFill>
              <w14:schemeClr w14:val="tx1"/>
            </w14:solidFill>
          </w14:textFill>
        </w:rPr>
        <w:t>办法</w:t>
      </w:r>
    </w:p>
    <w:p>
      <w:pPr>
        <w:adjustRightInd w:val="0"/>
        <w:snapToGrid w:val="0"/>
        <w:spacing w:line="560" w:lineRule="exact"/>
        <w:jc w:val="center"/>
        <w:rPr>
          <w:rFonts w:ascii="方正小标宋_GBK" w:hAnsi="方正小标宋_GBK" w:eastAsia="方正小标宋_GBK" w:cs="Arial"/>
          <w:color w:val="000000" w:themeColor="text1"/>
          <w:kern w:val="0"/>
          <w:sz w:val="44"/>
          <w:szCs w:val="32"/>
          <w14:textFill>
            <w14:solidFill>
              <w14:schemeClr w14:val="tx1"/>
            </w14:solidFill>
          </w14:textFill>
        </w:rPr>
      </w:pPr>
      <w:r>
        <w:rPr>
          <w:rFonts w:hint="eastAsia" w:ascii="方正小标宋_GBK" w:hAnsi="方正小标宋_GBK" w:eastAsia="方正小标宋_GBK" w:cs="Arial"/>
          <w:color w:val="000000" w:themeColor="text1"/>
          <w:kern w:val="0"/>
          <w:sz w:val="44"/>
          <w:szCs w:val="32"/>
          <w14:textFill>
            <w14:solidFill>
              <w14:schemeClr w14:val="tx1"/>
            </w14:solidFill>
          </w14:textFill>
        </w:rPr>
        <w:t>（试行）</w:t>
      </w:r>
    </w:p>
    <w:p>
      <w:pPr>
        <w:adjustRightInd w:val="0"/>
        <w:snapToGrid w:val="0"/>
        <w:spacing w:line="560" w:lineRule="exact"/>
        <w:jc w:val="center"/>
        <w:rPr>
          <w:rFonts w:ascii="方正小标宋_GBK" w:hAnsi="方正小标宋_GBK" w:eastAsia="方正小标宋_GBK" w:cs="Arial"/>
          <w:color w:val="000000" w:themeColor="text1"/>
          <w:kern w:val="0"/>
          <w:sz w:val="36"/>
          <w:szCs w:val="32"/>
          <w14:textFill>
            <w14:solidFill>
              <w14:schemeClr w14:val="tx1"/>
            </w14:solidFill>
          </w14:textFill>
        </w:rPr>
      </w:pPr>
      <w:r>
        <w:rPr>
          <w:rFonts w:hint="eastAsia" w:ascii="方正小标宋_GBK" w:hAnsi="方正小标宋_GBK" w:eastAsia="方正小标宋_GBK" w:cs="Arial"/>
          <w:color w:val="000000" w:themeColor="text1"/>
          <w:kern w:val="0"/>
          <w:sz w:val="36"/>
          <w:szCs w:val="32"/>
          <w14:textFill>
            <w14:solidFill>
              <w14:schemeClr w14:val="tx1"/>
            </w14:solidFill>
          </w14:textFill>
        </w:rPr>
        <w:t>(关于</w:t>
      </w:r>
      <w:r>
        <w:rPr>
          <w:rFonts w:ascii="方正小标宋_GBK" w:hAnsi="方正小标宋_GBK" w:eastAsia="方正小标宋_GBK" w:cs="Arial"/>
          <w:color w:val="000000" w:themeColor="text1"/>
          <w:kern w:val="0"/>
          <w:sz w:val="36"/>
          <w:szCs w:val="32"/>
          <w14:textFill>
            <w14:solidFill>
              <w14:schemeClr w14:val="tx1"/>
            </w14:solidFill>
          </w14:textFill>
        </w:rPr>
        <w:t>地下空间</w:t>
      </w:r>
      <w:r>
        <w:rPr>
          <w:rFonts w:hint="eastAsia" w:ascii="方正小标宋_GBK" w:hAnsi="方正小标宋_GBK" w:eastAsia="方正小标宋_GBK" w:cs="Arial"/>
          <w:color w:val="000000" w:themeColor="text1"/>
          <w:kern w:val="0"/>
          <w:sz w:val="36"/>
          <w:szCs w:val="32"/>
          <w14:textFill>
            <w14:solidFill>
              <w14:schemeClr w14:val="tx1"/>
            </w14:solidFill>
          </w14:textFill>
        </w:rPr>
        <w:t>、</w:t>
      </w:r>
      <w:r>
        <w:rPr>
          <w:rFonts w:ascii="方正小标宋_GBK" w:hAnsi="方正小标宋_GBK" w:eastAsia="方正小标宋_GBK" w:cs="Arial"/>
          <w:color w:val="000000" w:themeColor="text1"/>
          <w:kern w:val="0"/>
          <w:sz w:val="36"/>
          <w:szCs w:val="32"/>
          <w14:textFill>
            <w14:solidFill>
              <w14:schemeClr w14:val="tx1"/>
            </w14:solidFill>
          </w14:textFill>
        </w:rPr>
        <w:t>地上空间</w:t>
      </w:r>
      <w:r>
        <w:rPr>
          <w:rFonts w:hint="eastAsia" w:ascii="方正小标宋_GBK" w:hAnsi="方正小标宋_GBK" w:eastAsia="方正小标宋_GBK" w:cs="Arial"/>
          <w:color w:val="000000" w:themeColor="text1"/>
          <w:kern w:val="0"/>
          <w:sz w:val="36"/>
          <w:szCs w:val="32"/>
          <w14:textFill>
            <w14:solidFill>
              <w14:schemeClr w14:val="tx1"/>
            </w14:solidFill>
          </w14:textFill>
        </w:rPr>
        <w:t>国有建设用地使用权</w:t>
      </w:r>
      <w:r>
        <w:rPr>
          <w:rFonts w:ascii="方正小标宋_GBK" w:hAnsi="方正小标宋_GBK" w:eastAsia="方正小标宋_GBK" w:cs="Arial"/>
          <w:color w:val="000000" w:themeColor="text1"/>
          <w:kern w:val="0"/>
          <w:sz w:val="36"/>
          <w:szCs w:val="32"/>
          <w14:textFill>
            <w14:solidFill>
              <w14:schemeClr w14:val="tx1"/>
            </w14:solidFill>
          </w14:textFill>
        </w:rPr>
        <w:t>及建设项目开工竣工管理的若干规定</w:t>
      </w:r>
      <w:r>
        <w:rPr>
          <w:rFonts w:hint="eastAsia" w:ascii="方正小标宋_GBK" w:hAnsi="方正小标宋_GBK" w:eastAsia="方正小标宋_GBK" w:cs="Arial"/>
          <w:color w:val="000000" w:themeColor="text1"/>
          <w:kern w:val="0"/>
          <w:sz w:val="36"/>
          <w:szCs w:val="32"/>
          <w14:textFill>
            <w14:solidFill>
              <w14:schemeClr w14:val="tx1"/>
            </w14:solidFill>
          </w14:textFill>
        </w:rPr>
        <w:t>)</w:t>
      </w:r>
      <w:r>
        <w:rPr>
          <w:rFonts w:ascii="方正小标宋_GBK" w:hAnsi="方正小标宋_GBK" w:eastAsia="方正小标宋_GBK" w:cs="Arial"/>
          <w:color w:val="000000" w:themeColor="text1"/>
          <w:kern w:val="0"/>
          <w:sz w:val="36"/>
          <w:szCs w:val="32"/>
          <w14:textFill>
            <w14:solidFill>
              <w14:schemeClr w14:val="tx1"/>
            </w14:solidFill>
          </w14:textFill>
        </w:rPr>
        <w:t xml:space="preserve"> </w:t>
      </w:r>
    </w:p>
    <w:p>
      <w:pPr>
        <w:adjustRightInd w:val="0"/>
        <w:snapToGrid w:val="0"/>
        <w:spacing w:line="560" w:lineRule="exact"/>
        <w:rPr>
          <w:rFonts w:ascii="仿宋" w:hAnsi="仿宋" w:eastAsia="仿宋"/>
          <w:bCs/>
          <w:caps/>
          <w:kern w:val="0"/>
          <w:sz w:val="30"/>
          <w:szCs w:val="30"/>
        </w:rPr>
      </w:pPr>
    </w:p>
    <w:p>
      <w:pPr>
        <w:adjustRightInd w:val="0"/>
        <w:snapToGrid w:val="0"/>
        <w:spacing w:line="560" w:lineRule="exact"/>
        <w:jc w:val="center"/>
        <w:outlineLvl w:val="0"/>
        <w:rPr>
          <w:rFonts w:ascii="黑体" w:hAnsi="黑体" w:eastAsia="黑体"/>
          <w:bCs/>
          <w:caps/>
          <w:kern w:val="0"/>
          <w:sz w:val="32"/>
          <w:szCs w:val="32"/>
        </w:rPr>
      </w:pPr>
      <w:r>
        <w:rPr>
          <w:rFonts w:hint="eastAsia" w:ascii="黑体" w:hAnsi="黑体" w:eastAsia="黑体"/>
          <w:bCs/>
          <w:caps/>
          <w:kern w:val="0"/>
          <w:sz w:val="32"/>
          <w:szCs w:val="32"/>
        </w:rPr>
        <w:t>第一章 总则</w:t>
      </w:r>
    </w:p>
    <w:p>
      <w:pPr>
        <w:adjustRightInd w:val="0"/>
        <w:snapToGrid w:val="0"/>
        <w:spacing w:line="560" w:lineRule="exact"/>
        <w:ind w:firstLine="640" w:firstLineChars="200"/>
        <w:outlineLvl w:val="1"/>
        <w:rPr>
          <w:rFonts w:ascii="仿宋" w:hAnsi="仿宋" w:eastAsia="黑体"/>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 xml:space="preserve">第一条【目的】 </w:t>
      </w:r>
      <w:r>
        <w:rPr>
          <w:rFonts w:hint="eastAsia" w:ascii="仿宋" w:hAnsi="仿宋" w:eastAsia="仿宋"/>
          <w:caps/>
          <w:color w:val="000000" w:themeColor="text1"/>
          <w:kern w:val="0"/>
          <w:sz w:val="32"/>
          <w:szCs w:val="32"/>
          <w14:textFill>
            <w14:solidFill>
              <w14:schemeClr w14:val="tx1"/>
            </w14:solidFill>
          </w14:textFill>
        </w:rPr>
        <w:t>为</w:t>
      </w:r>
      <w:r>
        <w:rPr>
          <w:rFonts w:ascii="仿宋" w:hAnsi="仿宋" w:eastAsia="仿宋"/>
          <w:caps/>
          <w:color w:val="000000" w:themeColor="text1"/>
          <w:kern w:val="0"/>
          <w:sz w:val="32"/>
          <w:szCs w:val="32"/>
          <w14:textFill>
            <w14:solidFill>
              <w14:schemeClr w14:val="tx1"/>
            </w14:solidFill>
          </w14:textFill>
        </w:rPr>
        <w:t>进一步</w:t>
      </w:r>
      <w:r>
        <w:rPr>
          <w:rFonts w:hint="eastAsia" w:ascii="仿宋" w:hAnsi="仿宋" w:eastAsia="仿宋"/>
          <w:caps/>
          <w:color w:val="000000" w:themeColor="text1"/>
          <w:kern w:val="0"/>
          <w:sz w:val="32"/>
          <w:szCs w:val="32"/>
          <w14:textFill>
            <w14:solidFill>
              <w14:schemeClr w14:val="tx1"/>
            </w14:solidFill>
          </w14:textFill>
        </w:rPr>
        <w:t>提高北京经济技术开发区土地精细化管理水平，</w:t>
      </w:r>
      <w:r>
        <w:rPr>
          <w:rFonts w:ascii="仿宋" w:hAnsi="仿宋" w:eastAsia="仿宋"/>
          <w:caps/>
          <w:color w:val="000000" w:themeColor="text1"/>
          <w:kern w:val="0"/>
          <w:sz w:val="32"/>
          <w:szCs w:val="32"/>
          <w14:textFill>
            <w14:solidFill>
              <w14:schemeClr w14:val="tx1"/>
            </w14:solidFill>
          </w14:textFill>
        </w:rPr>
        <w:t>创新</w:t>
      </w:r>
      <w:r>
        <w:rPr>
          <w:rFonts w:hint="eastAsia" w:ascii="仿宋" w:hAnsi="仿宋" w:eastAsia="仿宋"/>
          <w:caps/>
          <w:color w:val="000000" w:themeColor="text1"/>
          <w:kern w:val="0"/>
          <w:sz w:val="32"/>
          <w:szCs w:val="32"/>
          <w14:textFill>
            <w14:solidFill>
              <w14:schemeClr w14:val="tx1"/>
            </w14:solidFill>
          </w14:textFill>
        </w:rPr>
        <w:t>国有建设用地使用权供应管理，规范建设项目开工竣工期限，促进土地节约集约利用，提高土地使用效率，确保产业发展空间，根据《中华人民共和国民法典》、《中华人民共和国土地管理法》、《中华人民共和国城乡规划法》、《北京市城乡规划条例》、《不动产登记暂行条例实施细则》、《北京市人民政府关于加快推进北京经济技术开发区和亦庄新城高质量发展的实施意见》（京政发〔2019〕22号）、《亦庄新城规划（国土空间规划）（2017年—2035年）》等法律法规和有关政策，结合北京经济技术开发区</w:t>
      </w:r>
      <w:r>
        <w:rPr>
          <w:rFonts w:ascii="仿宋" w:hAnsi="仿宋" w:eastAsia="仿宋"/>
          <w:caps/>
          <w:color w:val="000000" w:themeColor="text1"/>
          <w:kern w:val="0"/>
          <w:sz w:val="32"/>
          <w:szCs w:val="32"/>
          <w14:textFill>
            <w14:solidFill>
              <w14:schemeClr w14:val="tx1"/>
            </w14:solidFill>
          </w14:textFill>
        </w:rPr>
        <w:t>（</w:t>
      </w:r>
      <w:r>
        <w:rPr>
          <w:rFonts w:hint="eastAsia" w:ascii="仿宋" w:hAnsi="仿宋" w:eastAsia="仿宋"/>
          <w:caps/>
          <w:color w:val="000000" w:themeColor="text1"/>
          <w:kern w:val="0"/>
          <w:sz w:val="32"/>
          <w:szCs w:val="32"/>
          <w14:textFill>
            <w14:solidFill>
              <w14:schemeClr w14:val="tx1"/>
            </w14:solidFill>
          </w14:textFill>
        </w:rPr>
        <w:t>以下简称经开区）实际，制定本办法。</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 xml:space="preserve">第二条【适用范围】 </w:t>
      </w:r>
      <w:r>
        <w:rPr>
          <w:rFonts w:hint="eastAsia" w:ascii="仿宋" w:hAnsi="仿宋" w:eastAsia="仿宋"/>
          <w:caps/>
          <w:color w:val="000000" w:themeColor="text1"/>
          <w:kern w:val="0"/>
          <w:sz w:val="32"/>
          <w:szCs w:val="32"/>
          <w14:textFill>
            <w14:solidFill>
              <w14:schemeClr w14:val="tx1"/>
            </w14:solidFill>
          </w14:textFill>
        </w:rPr>
        <w:t>本办法适用于亦庄新城2</w:t>
      </w:r>
      <w:r>
        <w:rPr>
          <w:rFonts w:ascii="仿宋" w:hAnsi="仿宋" w:eastAsia="仿宋"/>
          <w:caps/>
          <w:color w:val="000000" w:themeColor="text1"/>
          <w:kern w:val="0"/>
          <w:sz w:val="32"/>
          <w:szCs w:val="32"/>
          <w14:textFill>
            <w14:solidFill>
              <w14:schemeClr w14:val="tx1"/>
            </w14:solidFill>
          </w14:textFill>
        </w:rPr>
        <w:t>25平方公里范围内的地下空间</w:t>
      </w:r>
      <w:r>
        <w:rPr>
          <w:rFonts w:hint="eastAsia" w:ascii="仿宋" w:hAnsi="仿宋" w:eastAsia="仿宋"/>
          <w:caps/>
          <w:color w:val="000000" w:themeColor="text1"/>
          <w:kern w:val="0"/>
          <w:sz w:val="32"/>
          <w:szCs w:val="32"/>
          <w14:textFill>
            <w14:solidFill>
              <w14:schemeClr w14:val="tx1"/>
            </w14:solidFill>
          </w14:textFill>
        </w:rPr>
        <w:t>、地上空间国有建设用地使用权的分层供应、规划利用、开发建设、登记等相关管理活动，以及建设项目开工竣工期限的管理。</w:t>
      </w:r>
    </w:p>
    <w:p>
      <w:pPr>
        <w:adjustRightInd w:val="0"/>
        <w:snapToGrid w:val="0"/>
        <w:spacing w:line="560" w:lineRule="exact"/>
        <w:ind w:firstLine="640" w:firstLineChars="200"/>
        <w:outlineLvl w:val="1"/>
        <w:rPr>
          <w:rFonts w:ascii="仿宋" w:hAnsi="仿宋" w:eastAsia="仿宋"/>
          <w:color w:val="000000" w:themeColor="text1"/>
          <w:kern w:val="0"/>
          <w:sz w:val="32"/>
          <w:szCs w:val="32"/>
          <w14:textFill>
            <w14:solidFill>
              <w14:schemeClr w14:val="tx1"/>
            </w14:solidFill>
          </w14:textFill>
        </w:rPr>
      </w:pPr>
      <w:r>
        <w:rPr>
          <w:rFonts w:hint="eastAsia" w:ascii="黑体" w:hAnsi="黑体" w:eastAsia="黑体"/>
          <w:color w:val="000000" w:themeColor="text1"/>
          <w:kern w:val="0"/>
          <w:sz w:val="32"/>
          <w:szCs w:val="32"/>
          <w14:textFill>
            <w14:solidFill>
              <w14:schemeClr w14:val="tx1"/>
            </w14:solidFill>
          </w14:textFill>
        </w:rPr>
        <w:t xml:space="preserve">第三条【基本原则】 </w:t>
      </w:r>
      <w:r>
        <w:rPr>
          <w:rFonts w:hint="eastAsia" w:ascii="仿宋" w:hAnsi="仿宋" w:eastAsia="仿宋"/>
          <w:color w:val="000000" w:themeColor="text1"/>
          <w:kern w:val="0"/>
          <w:sz w:val="32"/>
          <w:szCs w:val="32"/>
          <w14:textFill>
            <w14:solidFill>
              <w14:schemeClr w14:val="tx1"/>
            </w14:solidFill>
          </w14:textFill>
        </w:rPr>
        <w:t>国有建设用地使用权分层供应，应当遵循规划先行、统筹布局、竖向分层立体综合开发、横向相关空间连通、地上地下相协调、安全环保、公共利益优先的原则。</w:t>
      </w:r>
    </w:p>
    <w:p>
      <w:pPr>
        <w:adjustRightInd w:val="0"/>
        <w:snapToGrid w:val="0"/>
        <w:spacing w:line="560" w:lineRule="exact"/>
        <w:jc w:val="center"/>
        <w:outlineLvl w:val="0"/>
        <w:rPr>
          <w:rFonts w:ascii="黑体" w:hAnsi="黑体" w:eastAsia="黑体"/>
          <w:bCs/>
          <w:caps/>
          <w:kern w:val="0"/>
          <w:sz w:val="32"/>
          <w:szCs w:val="32"/>
        </w:rPr>
      </w:pPr>
      <w:r>
        <w:rPr>
          <w:rFonts w:ascii="黑体" w:hAnsi="黑体" w:eastAsia="黑体"/>
          <w:bCs/>
          <w:caps/>
          <w:kern w:val="0"/>
          <w:sz w:val="32"/>
          <w:szCs w:val="32"/>
        </w:rPr>
        <w:t>第二章</w:t>
      </w:r>
      <w:r>
        <w:rPr>
          <w:rFonts w:hint="eastAsia" w:ascii="黑体" w:hAnsi="黑体" w:eastAsia="黑体"/>
          <w:bCs/>
          <w:caps/>
          <w:kern w:val="0"/>
          <w:sz w:val="32"/>
          <w:szCs w:val="32"/>
        </w:rPr>
        <w:t xml:space="preserve"> 职责分工</w:t>
      </w:r>
    </w:p>
    <w:p>
      <w:pPr>
        <w:adjustRightInd w:val="0"/>
        <w:snapToGrid w:val="0"/>
        <w:spacing w:line="560" w:lineRule="exact"/>
        <w:ind w:firstLine="640" w:firstLineChars="200"/>
        <w:outlineLvl w:val="1"/>
        <w:rPr>
          <w:rFonts w:ascii="仿宋" w:hAnsi="仿宋" w:eastAsia="仿宋"/>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第四条【建立工作机制】</w:t>
      </w:r>
      <w:r>
        <w:rPr>
          <w:rFonts w:hint="eastAsia" w:ascii="仿宋" w:hAnsi="仿宋" w:eastAsia="仿宋"/>
          <w:color w:val="000000" w:themeColor="text1"/>
          <w:kern w:val="0"/>
          <w:sz w:val="32"/>
          <w:szCs w:val="32"/>
          <w14:textFill>
            <w14:solidFill>
              <w14:schemeClr w14:val="tx1"/>
            </w14:solidFill>
          </w14:textFill>
        </w:rPr>
        <w:t xml:space="preserve"> 经开区管委会设立经开区土地精细化利用和管理领导小组，对经开区土地精细化利用和管理进行组织和领导。</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ascii="仿宋" w:hAnsi="仿宋" w:eastAsia="仿宋"/>
          <w:color w:val="000000" w:themeColor="text1"/>
          <w:kern w:val="0"/>
          <w:sz w:val="32"/>
          <w:szCs w:val="32"/>
          <w14:textFill>
            <w14:solidFill>
              <w14:schemeClr w14:val="tx1"/>
            </w14:solidFill>
          </w14:textFill>
        </w:rPr>
        <w:t>领导小组由经开区管委会分管土地管理工作的副主任担任组长</w:t>
      </w:r>
      <w:r>
        <w:rPr>
          <w:rFonts w:hint="eastAsia" w:ascii="仿宋" w:hAnsi="仿宋" w:eastAsia="仿宋"/>
          <w:color w:val="000000" w:themeColor="text1"/>
          <w:kern w:val="0"/>
          <w:sz w:val="32"/>
          <w:szCs w:val="32"/>
          <w14:textFill>
            <w14:solidFill>
              <w14:schemeClr w14:val="tx1"/>
            </w14:solidFill>
          </w14:textFill>
        </w:rPr>
        <w:t>，</w:t>
      </w:r>
      <w:r>
        <w:rPr>
          <w:rFonts w:ascii="仿宋" w:hAnsi="仿宋" w:eastAsia="仿宋"/>
          <w:color w:val="000000" w:themeColor="text1"/>
          <w:kern w:val="0"/>
          <w:sz w:val="32"/>
          <w:szCs w:val="32"/>
          <w14:textFill>
            <w14:solidFill>
              <w14:schemeClr w14:val="tx1"/>
            </w14:solidFill>
          </w14:textFill>
        </w:rPr>
        <w:t>成员包括开发建设局</w:t>
      </w:r>
      <w:r>
        <w:rPr>
          <w:rFonts w:hint="eastAsia" w:ascii="仿宋" w:hAnsi="仿宋" w:eastAsia="仿宋"/>
          <w:color w:val="000000" w:themeColor="text1"/>
          <w:kern w:val="0"/>
          <w:sz w:val="32"/>
          <w:szCs w:val="32"/>
          <w14:textFill>
            <w14:solidFill>
              <w14:schemeClr w14:val="tx1"/>
            </w14:solidFill>
          </w14:textFill>
        </w:rPr>
        <w:t>、北京市规划和自然资源委员会经济技术开发区分局、经济发展局、城市运营局、行政审批局、土地储备与建设服务中心等单位。办公室设在开发建设局，由开发建设局局长担任办公室主任，统筹、协调和督促相关单位做好经开区土地精细化利用和管理的相关工作。</w:t>
      </w:r>
    </w:p>
    <w:p>
      <w:pPr>
        <w:adjustRightInd w:val="0"/>
        <w:snapToGrid w:val="0"/>
        <w:spacing w:line="560" w:lineRule="exact"/>
        <w:ind w:firstLine="640" w:firstLineChars="200"/>
        <w:outlineLvl w:val="1"/>
        <w:rPr>
          <w:rFonts w:ascii="仿宋" w:hAnsi="仿宋" w:eastAsia="仿宋"/>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 xml:space="preserve">第五条【相关单位职责】 </w:t>
      </w:r>
      <w:r>
        <w:rPr>
          <w:rFonts w:hint="eastAsia" w:ascii="仿宋" w:hAnsi="仿宋" w:eastAsia="仿宋"/>
          <w:color w:val="000000" w:themeColor="text1"/>
          <w:kern w:val="0"/>
          <w:sz w:val="32"/>
          <w:szCs w:val="32"/>
          <w14:textFill>
            <w14:solidFill>
              <w14:schemeClr w14:val="tx1"/>
            </w14:solidFill>
          </w14:textFill>
        </w:rPr>
        <w:t>开发建设局负责建设用地分层使用的供应管理，施工建设监督管理，地下人防工程、物业等事项的监督管理，不动产权登记管理。</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北京市规划和自然资源委员会经济技术开发区分局负责建设用地分层使用的规划管理，编制亦庄新城地下空间开发利用专项规划，编制带设计方案供应地块的《“多规合一”协同平台审核意见的函》或《建设项目用地预审与选址意见书》。</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经济发展局负责政府投资类地下空间项目的立项和审批。</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城市运行局负责市政设施类的地下空间项目和轨道交通分层实施的规划、设计、建设、运营的组织、协调管理。</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行政审批局负责社会投资类地下空间项目的</w:t>
      </w:r>
      <w:r>
        <w:rPr>
          <w:rFonts w:ascii="仿宋" w:hAnsi="仿宋" w:eastAsia="仿宋"/>
          <w:color w:val="000000" w:themeColor="text1"/>
          <w:kern w:val="0"/>
          <w:sz w:val="32"/>
          <w:szCs w:val="32"/>
          <w14:textFill>
            <w14:solidFill>
              <w14:schemeClr w14:val="tx1"/>
            </w14:solidFill>
          </w14:textFill>
        </w:rPr>
        <w:t>立项</w:t>
      </w:r>
      <w:r>
        <w:rPr>
          <w:rFonts w:hint="eastAsia" w:ascii="仿宋" w:hAnsi="仿宋" w:eastAsia="仿宋"/>
          <w:color w:val="000000" w:themeColor="text1"/>
          <w:kern w:val="0"/>
          <w:sz w:val="32"/>
          <w:szCs w:val="32"/>
          <w14:textFill>
            <w14:solidFill>
              <w14:schemeClr w14:val="tx1"/>
            </w14:solidFill>
          </w14:textFill>
        </w:rPr>
        <w:t>及其他职权范围内的审批服务工作。</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其他相关部门根据各自职责，做好建设用地精细化管理的相关工作。</w:t>
      </w:r>
    </w:p>
    <w:p>
      <w:pPr>
        <w:adjustRightInd w:val="0"/>
        <w:snapToGrid w:val="0"/>
        <w:spacing w:line="560" w:lineRule="exact"/>
        <w:jc w:val="center"/>
        <w:outlineLvl w:val="0"/>
        <w:rPr>
          <w:rFonts w:ascii="黑体" w:hAnsi="黑体" w:eastAsia="黑体"/>
          <w:bCs/>
          <w:caps/>
          <w:kern w:val="0"/>
          <w:sz w:val="32"/>
          <w:szCs w:val="32"/>
        </w:rPr>
      </w:pPr>
      <w:r>
        <w:rPr>
          <w:rFonts w:hint="eastAsia" w:ascii="黑体" w:hAnsi="黑体" w:eastAsia="黑体"/>
          <w:bCs/>
          <w:caps/>
          <w:kern w:val="0"/>
          <w:sz w:val="32"/>
          <w:szCs w:val="32"/>
        </w:rPr>
        <w:t>第</w:t>
      </w:r>
      <w:r>
        <w:rPr>
          <w:rFonts w:ascii="黑体" w:hAnsi="黑体" w:eastAsia="黑体"/>
          <w:bCs/>
          <w:caps/>
          <w:kern w:val="0"/>
          <w:sz w:val="32"/>
          <w:szCs w:val="32"/>
        </w:rPr>
        <w:t>三</w:t>
      </w:r>
      <w:r>
        <w:rPr>
          <w:rFonts w:hint="eastAsia" w:ascii="黑体" w:hAnsi="黑体" w:eastAsia="黑体"/>
          <w:bCs/>
          <w:caps/>
          <w:kern w:val="0"/>
          <w:sz w:val="32"/>
          <w:szCs w:val="32"/>
        </w:rPr>
        <w:t>章 国有建设用地使用权分层供应</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w:t>
      </w:r>
      <w:r>
        <w:rPr>
          <w:rFonts w:ascii="仿宋" w:hAnsi="仿宋" w:eastAsia="黑体"/>
          <w:caps/>
          <w:color w:val="000000" w:themeColor="text1"/>
          <w:kern w:val="0"/>
          <w:sz w:val="32"/>
          <w:szCs w:val="32"/>
          <w14:textFill>
            <w14:solidFill>
              <w14:schemeClr w14:val="tx1"/>
            </w14:solidFill>
          </w14:textFill>
        </w:rPr>
        <w:t>六</w:t>
      </w:r>
      <w:r>
        <w:rPr>
          <w:rFonts w:hint="eastAsia" w:ascii="仿宋" w:hAnsi="仿宋" w:eastAsia="黑体"/>
          <w:caps/>
          <w:color w:val="000000" w:themeColor="text1"/>
          <w:kern w:val="0"/>
          <w:sz w:val="32"/>
          <w:szCs w:val="32"/>
          <w14:textFill>
            <w14:solidFill>
              <w14:schemeClr w14:val="tx1"/>
            </w14:solidFill>
          </w14:textFill>
        </w:rPr>
        <w:t>条【</w:t>
      </w:r>
      <w:r>
        <w:rPr>
          <w:rFonts w:ascii="仿宋" w:hAnsi="仿宋" w:eastAsia="黑体"/>
          <w:caps/>
          <w:color w:val="000000" w:themeColor="text1"/>
          <w:kern w:val="0"/>
          <w:sz w:val="32"/>
          <w:szCs w:val="32"/>
          <w14:textFill>
            <w14:solidFill>
              <w14:schemeClr w14:val="tx1"/>
            </w14:solidFill>
          </w14:textFill>
        </w:rPr>
        <w:t>利用导向】</w:t>
      </w:r>
      <w:r>
        <w:rPr>
          <w:rFonts w:hint="eastAsia" w:ascii="仿宋" w:hAnsi="仿宋" w:eastAsia="黑体"/>
          <w:caps/>
          <w:color w:val="000000" w:themeColor="text1"/>
          <w:kern w:val="0"/>
          <w:sz w:val="32"/>
          <w:szCs w:val="32"/>
          <w14:textFill>
            <w14:solidFill>
              <w14:schemeClr w14:val="tx1"/>
            </w14:solidFill>
          </w14:textFill>
        </w:rPr>
        <w:t xml:space="preserve"> </w:t>
      </w:r>
      <w:r>
        <w:rPr>
          <w:rFonts w:hint="eastAsia" w:ascii="仿宋" w:hAnsi="仿宋" w:eastAsia="仿宋"/>
          <w:caps/>
          <w:color w:val="000000" w:themeColor="text1"/>
          <w:kern w:val="0"/>
          <w:sz w:val="32"/>
          <w:szCs w:val="32"/>
          <w14:textFill>
            <w14:solidFill>
              <w14:schemeClr w14:val="tx1"/>
            </w14:solidFill>
          </w14:textFill>
        </w:rPr>
        <w:t>根据经开区规划与产业需求，国有建设用地使用权可</w:t>
      </w:r>
      <w:r>
        <w:rPr>
          <w:rFonts w:ascii="仿宋" w:hAnsi="仿宋" w:eastAsia="仿宋"/>
          <w:caps/>
          <w:color w:val="000000" w:themeColor="text1"/>
          <w:kern w:val="0"/>
          <w:sz w:val="32"/>
          <w:szCs w:val="32"/>
          <w14:textFill>
            <w14:solidFill>
              <w14:schemeClr w14:val="tx1"/>
            </w14:solidFill>
          </w14:textFill>
        </w:rPr>
        <w:t>于地表</w:t>
      </w:r>
      <w:r>
        <w:rPr>
          <w:rFonts w:hint="eastAsia" w:ascii="仿宋" w:hAnsi="仿宋" w:eastAsia="仿宋"/>
          <w:caps/>
          <w:color w:val="000000" w:themeColor="text1"/>
          <w:kern w:val="0"/>
          <w:sz w:val="32"/>
          <w:szCs w:val="32"/>
          <w14:textFill>
            <w14:solidFill>
              <w14:schemeClr w14:val="tx1"/>
            </w14:solidFill>
          </w14:textFill>
        </w:rPr>
        <w:t>、</w:t>
      </w:r>
      <w:r>
        <w:rPr>
          <w:rFonts w:ascii="仿宋" w:hAnsi="仿宋" w:eastAsia="仿宋"/>
          <w:caps/>
          <w:color w:val="000000" w:themeColor="text1"/>
          <w:kern w:val="0"/>
          <w:sz w:val="32"/>
          <w:szCs w:val="32"/>
          <w14:textFill>
            <w14:solidFill>
              <w14:schemeClr w14:val="tx1"/>
            </w14:solidFill>
          </w14:textFill>
        </w:rPr>
        <w:t>地下空间和地上空间分别设立</w:t>
      </w:r>
      <w:r>
        <w:rPr>
          <w:rFonts w:hint="eastAsia" w:ascii="仿宋" w:hAnsi="仿宋" w:eastAsia="仿宋"/>
          <w:caps/>
          <w:color w:val="000000" w:themeColor="text1"/>
          <w:kern w:val="0"/>
          <w:sz w:val="32"/>
          <w:szCs w:val="32"/>
          <w14:textFill>
            <w14:solidFill>
              <w14:schemeClr w14:val="tx1"/>
            </w14:solidFill>
          </w14:textFill>
        </w:rPr>
        <w:t>和</w:t>
      </w:r>
      <w:r>
        <w:rPr>
          <w:rFonts w:ascii="仿宋" w:hAnsi="仿宋" w:eastAsia="仿宋"/>
          <w:caps/>
          <w:color w:val="000000" w:themeColor="text1"/>
          <w:kern w:val="0"/>
          <w:sz w:val="32"/>
          <w:szCs w:val="32"/>
          <w14:textFill>
            <w14:solidFill>
              <w14:schemeClr w14:val="tx1"/>
            </w14:solidFill>
          </w14:textFill>
        </w:rPr>
        <w:t>供应</w:t>
      </w:r>
      <w:r>
        <w:rPr>
          <w:rFonts w:hint="eastAsia" w:ascii="仿宋" w:hAnsi="仿宋" w:eastAsia="仿宋"/>
          <w:caps/>
          <w:color w:val="000000" w:themeColor="text1"/>
          <w:kern w:val="0"/>
          <w:sz w:val="32"/>
          <w:szCs w:val="32"/>
          <w14:textFill>
            <w14:solidFill>
              <w14:schemeClr w14:val="tx1"/>
            </w14:solidFill>
          </w14:textFill>
        </w:rPr>
        <w:t>。</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地下空间国有</w:t>
      </w:r>
      <w:r>
        <w:rPr>
          <w:rFonts w:ascii="仿宋" w:hAnsi="仿宋" w:eastAsia="仿宋"/>
          <w:color w:val="000000" w:themeColor="text1"/>
          <w:kern w:val="0"/>
          <w:sz w:val="32"/>
          <w:szCs w:val="32"/>
          <w14:textFill>
            <w14:solidFill>
              <w14:schemeClr w14:val="tx1"/>
            </w14:solidFill>
          </w14:textFill>
        </w:rPr>
        <w:t>建设用地使用权</w:t>
      </w:r>
      <w:r>
        <w:rPr>
          <w:rFonts w:hint="eastAsia" w:ascii="仿宋" w:hAnsi="仿宋" w:eastAsia="仿宋"/>
          <w:color w:val="000000" w:themeColor="text1"/>
          <w:kern w:val="0"/>
          <w:sz w:val="32"/>
          <w:szCs w:val="32"/>
          <w14:textFill>
            <w14:solidFill>
              <w14:schemeClr w14:val="tx1"/>
            </w14:solidFill>
          </w14:textFill>
        </w:rPr>
        <w:t>可实行分层供应，在符合《北京市地下空间使用负面清单》的前提下，优先用于建设交通、市政工程、防空防灾等城市基础设施和公共服务设施；鼓励引入适宜地下条件的高精尖产业；引导建设会议、展示、仓储、物流设施以及体育、文化等项目。</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w:t>
      </w:r>
      <w:r>
        <w:rPr>
          <w:rFonts w:ascii="仿宋" w:hAnsi="仿宋" w:eastAsia="黑体"/>
          <w:caps/>
          <w:color w:val="000000" w:themeColor="text1"/>
          <w:kern w:val="0"/>
          <w:sz w:val="32"/>
          <w:szCs w:val="32"/>
          <w14:textFill>
            <w14:solidFill>
              <w14:schemeClr w14:val="tx1"/>
            </w14:solidFill>
          </w14:textFill>
        </w:rPr>
        <w:t>七</w:t>
      </w:r>
      <w:r>
        <w:rPr>
          <w:rFonts w:hint="eastAsia" w:ascii="仿宋" w:hAnsi="仿宋" w:eastAsia="黑体"/>
          <w:caps/>
          <w:color w:val="000000" w:themeColor="text1"/>
          <w:kern w:val="0"/>
          <w:sz w:val="32"/>
          <w:szCs w:val="32"/>
          <w14:textFill>
            <w14:solidFill>
              <w14:schemeClr w14:val="tx1"/>
            </w14:solidFill>
          </w14:textFill>
        </w:rPr>
        <w:t xml:space="preserve">条【规划与指标】 </w:t>
      </w:r>
      <w:r>
        <w:rPr>
          <w:rFonts w:hint="eastAsia" w:ascii="仿宋" w:hAnsi="仿宋" w:eastAsia="仿宋"/>
          <w:caps/>
          <w:color w:val="000000" w:themeColor="text1"/>
          <w:kern w:val="0"/>
          <w:sz w:val="32"/>
          <w:szCs w:val="32"/>
          <w14:textFill>
            <w14:solidFill>
              <w14:schemeClr w14:val="tx1"/>
            </w14:solidFill>
          </w14:textFill>
        </w:rPr>
        <w:t>北京市规划和自然资源委员会经济技术开发区分局组织开展地下空间资源调查，依据地下空间资源状况和国土空间规划要求，科学编制亦庄新城地下空间开发利用专项规划，统筹安排地下空间的规划建设规模、时序和发展模式。</w:t>
      </w:r>
    </w:p>
    <w:p>
      <w:pPr>
        <w:adjustRightInd w:val="0"/>
        <w:snapToGrid w:val="0"/>
        <w:spacing w:line="560" w:lineRule="exact"/>
        <w:ind w:firstLine="640" w:firstLineChars="200"/>
        <w:rPr>
          <w:rFonts w:eastAsia="宋体"/>
          <w:color w:val="000000" w:themeColor="text1"/>
          <w:kern w:val="0"/>
          <w:sz w:val="28"/>
          <w:szCs w:val="20"/>
          <w14:textFill>
            <w14:solidFill>
              <w14:schemeClr w14:val="tx1"/>
            </w14:solidFill>
          </w14:textFill>
        </w:rPr>
      </w:pPr>
      <w:r>
        <w:rPr>
          <w:rFonts w:hint="eastAsia" w:ascii="仿宋" w:hAnsi="仿宋" w:eastAsia="仿宋"/>
          <w:color w:val="000000" w:themeColor="text1"/>
          <w:kern w:val="0"/>
          <w:sz w:val="32"/>
          <w:szCs w:val="21"/>
          <w14:textFill>
            <w14:solidFill>
              <w14:schemeClr w14:val="tx1"/>
            </w14:solidFill>
          </w14:textFill>
        </w:rPr>
        <w:t>地下空间的</w:t>
      </w:r>
      <w:r>
        <w:rPr>
          <w:rFonts w:ascii="仿宋" w:hAnsi="仿宋" w:eastAsia="仿宋"/>
          <w:color w:val="000000" w:themeColor="text1"/>
          <w:kern w:val="0"/>
          <w:sz w:val="32"/>
          <w:szCs w:val="21"/>
          <w14:textFill>
            <w14:solidFill>
              <w14:schemeClr w14:val="tx1"/>
            </w14:solidFill>
          </w14:textFill>
        </w:rPr>
        <w:t>规划</w:t>
      </w:r>
      <w:r>
        <w:rPr>
          <w:rFonts w:hint="eastAsia" w:ascii="仿宋" w:hAnsi="仿宋" w:eastAsia="仿宋"/>
          <w:color w:val="000000" w:themeColor="text1"/>
          <w:kern w:val="0"/>
          <w:sz w:val="32"/>
          <w:szCs w:val="21"/>
          <w14:textFill>
            <w14:solidFill>
              <w14:schemeClr w14:val="tx1"/>
            </w14:solidFill>
          </w14:textFill>
        </w:rPr>
        <w:t>建设规模原则上不计入所在街区总建筑规模控制指标</w:t>
      </w:r>
      <w:r>
        <w:rPr>
          <w:rFonts w:hint="eastAsia" w:eastAsia="宋体"/>
          <w:color w:val="000000" w:themeColor="text1"/>
          <w:kern w:val="0"/>
          <w:sz w:val="28"/>
          <w:szCs w:val="20"/>
          <w14:textFill>
            <w14:solidFill>
              <w14:schemeClr w14:val="tx1"/>
            </w14:solidFill>
          </w14:textFill>
        </w:rPr>
        <w:t>。</w:t>
      </w:r>
    </w:p>
    <w:p>
      <w:pPr>
        <w:adjustRightInd w:val="0"/>
        <w:snapToGrid w:val="0"/>
        <w:spacing w:line="560" w:lineRule="exact"/>
        <w:ind w:firstLine="640" w:firstLineChars="200"/>
        <w:outlineLvl w:val="1"/>
        <w:rPr>
          <w:rFonts w:ascii="仿宋" w:hAnsi="仿宋" w:eastAsia="黑体"/>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w:t>
      </w:r>
      <w:r>
        <w:rPr>
          <w:rFonts w:ascii="仿宋" w:hAnsi="仿宋" w:eastAsia="黑体"/>
          <w:caps/>
          <w:color w:val="000000" w:themeColor="text1"/>
          <w:kern w:val="0"/>
          <w:sz w:val="32"/>
          <w:szCs w:val="32"/>
          <w14:textFill>
            <w14:solidFill>
              <w14:schemeClr w14:val="tx1"/>
            </w14:solidFill>
          </w14:textFill>
        </w:rPr>
        <w:t>八</w:t>
      </w:r>
      <w:r>
        <w:rPr>
          <w:rFonts w:hint="eastAsia" w:ascii="仿宋" w:hAnsi="仿宋" w:eastAsia="黑体"/>
          <w:caps/>
          <w:color w:val="000000" w:themeColor="text1"/>
          <w:kern w:val="0"/>
          <w:sz w:val="32"/>
          <w:szCs w:val="32"/>
          <w14:textFill>
            <w14:solidFill>
              <w14:schemeClr w14:val="tx1"/>
            </w14:solidFill>
          </w14:textFill>
        </w:rPr>
        <w:t xml:space="preserve">条【供应方式】 </w:t>
      </w:r>
      <w:r>
        <w:rPr>
          <w:rFonts w:hint="eastAsia" w:ascii="仿宋" w:hAnsi="仿宋" w:eastAsia="仿宋"/>
          <w:caps/>
          <w:color w:val="000000" w:themeColor="text1"/>
          <w:kern w:val="0"/>
          <w:sz w:val="32"/>
          <w:szCs w:val="32"/>
          <w14:textFill>
            <w14:solidFill>
              <w14:schemeClr w14:val="tx1"/>
            </w14:solidFill>
          </w14:textFill>
        </w:rPr>
        <w:t>符合国家《划拨用地目录》的，可采用划拨方式</w:t>
      </w:r>
      <w:r>
        <w:rPr>
          <w:rFonts w:ascii="仿宋" w:hAnsi="仿宋" w:eastAsia="仿宋"/>
          <w:caps/>
          <w:color w:val="000000" w:themeColor="text1"/>
          <w:kern w:val="0"/>
          <w:sz w:val="32"/>
          <w:szCs w:val="32"/>
          <w14:textFill>
            <w14:solidFill>
              <w14:schemeClr w14:val="tx1"/>
            </w14:solidFill>
          </w14:textFill>
        </w:rPr>
        <w:t>供应</w:t>
      </w:r>
      <w:r>
        <w:rPr>
          <w:rFonts w:hint="eastAsia" w:ascii="仿宋" w:hAnsi="仿宋" w:eastAsia="仿宋"/>
          <w:caps/>
          <w:color w:val="000000" w:themeColor="text1"/>
          <w:kern w:val="0"/>
          <w:sz w:val="32"/>
          <w:szCs w:val="32"/>
          <w14:textFill>
            <w14:solidFill>
              <w14:schemeClr w14:val="tx1"/>
            </w14:solidFill>
          </w14:textFill>
        </w:rPr>
        <w:t>地下空间、地上空间国有建设用地使用权。</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经营性用途的地下空间、地上空间国有建设用地使用权采用招标、拍卖或挂牌出让等有偿使用方式供应。</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符合规划并符合下列情形之一的，可采用协议出让供应地下空间、地上空间国有建设用地使用权：</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（一）供地时，建设规划条件没有将地下空间纳入供地范围，地表国有建设用地使用权人申请开发其建设用地范围内的地下空间，并经规划主管部门批准同意的。</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（二）连接两宗及以上已设定产权地块且需要穿越市政道路、河道、公共绿地、公共广场等公共用地，其主体功能为交通通道的地下连通空间和地上连通空间（空中连廊）。</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（三）附着于地下交通设施等公益性项目且不具备独立开发条件、规划建筑面积不超过地下空间总建筑面积20%的经营性地下工程。</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（四）划拨地下空间国有建设用地使用权办理有偿使用手续的。</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w:t>
      </w:r>
      <w:r>
        <w:rPr>
          <w:rFonts w:ascii="仿宋" w:hAnsi="仿宋" w:eastAsia="仿宋"/>
          <w:color w:val="000000" w:themeColor="text1"/>
          <w:kern w:val="0"/>
          <w:sz w:val="32"/>
          <w:szCs w:val="32"/>
          <w14:textFill>
            <w14:solidFill>
              <w14:schemeClr w14:val="tx1"/>
            </w14:solidFill>
          </w14:textFill>
        </w:rPr>
        <w:t>五</w:t>
      </w:r>
      <w:r>
        <w:rPr>
          <w:rFonts w:hint="eastAsia" w:ascii="仿宋" w:hAnsi="仿宋" w:eastAsia="仿宋"/>
          <w:color w:val="000000" w:themeColor="text1"/>
          <w:kern w:val="0"/>
          <w:sz w:val="32"/>
          <w:szCs w:val="32"/>
          <w14:textFill>
            <w14:solidFill>
              <w14:schemeClr w14:val="tx1"/>
            </w14:solidFill>
          </w14:textFill>
        </w:rPr>
        <w:t>）依法可以协议出让的其他情形。</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w:t>
      </w:r>
      <w:r>
        <w:rPr>
          <w:rFonts w:ascii="仿宋" w:hAnsi="仿宋" w:eastAsia="黑体"/>
          <w:caps/>
          <w:color w:val="000000" w:themeColor="text1"/>
          <w:kern w:val="0"/>
          <w:sz w:val="32"/>
          <w:szCs w:val="32"/>
          <w14:textFill>
            <w14:solidFill>
              <w14:schemeClr w14:val="tx1"/>
            </w14:solidFill>
          </w14:textFill>
        </w:rPr>
        <w:t>九</w:t>
      </w:r>
      <w:r>
        <w:rPr>
          <w:rFonts w:hint="eastAsia" w:ascii="仿宋" w:hAnsi="仿宋" w:eastAsia="黑体"/>
          <w:caps/>
          <w:color w:val="000000" w:themeColor="text1"/>
          <w:kern w:val="0"/>
          <w:sz w:val="32"/>
          <w:szCs w:val="32"/>
          <w14:textFill>
            <w14:solidFill>
              <w14:schemeClr w14:val="tx1"/>
            </w14:solidFill>
          </w14:textFill>
        </w:rPr>
        <w:t xml:space="preserve">条【地下空间建设规划条件】 </w:t>
      </w:r>
      <w:r>
        <w:rPr>
          <w:rFonts w:hint="eastAsia" w:ascii="仿宋" w:hAnsi="仿宋" w:eastAsia="仿宋"/>
          <w:caps/>
          <w:color w:val="000000" w:themeColor="text1"/>
          <w:kern w:val="0"/>
          <w:sz w:val="32"/>
          <w:szCs w:val="32"/>
          <w14:textFill>
            <w14:solidFill>
              <w14:schemeClr w14:val="tx1"/>
            </w14:solidFill>
          </w14:textFill>
        </w:rPr>
        <w:t>单建</w:t>
      </w:r>
      <w:r>
        <w:rPr>
          <w:rFonts w:ascii="仿宋" w:hAnsi="仿宋" w:eastAsia="仿宋"/>
          <w:caps/>
          <w:color w:val="000000" w:themeColor="text1"/>
          <w:kern w:val="0"/>
          <w:sz w:val="32"/>
          <w:szCs w:val="32"/>
          <w14:textFill>
            <w14:solidFill>
              <w14:schemeClr w14:val="tx1"/>
            </w14:solidFill>
          </w14:textFill>
        </w:rPr>
        <w:t>式</w:t>
      </w:r>
      <w:r>
        <w:rPr>
          <w:rFonts w:hint="eastAsia" w:ascii="仿宋" w:hAnsi="仿宋" w:eastAsia="仿宋"/>
          <w:caps/>
          <w:color w:val="000000" w:themeColor="text1"/>
          <w:kern w:val="0"/>
          <w:sz w:val="32"/>
          <w:szCs w:val="32"/>
          <w14:textFill>
            <w14:solidFill>
              <w14:schemeClr w14:val="tx1"/>
            </w14:solidFill>
          </w14:textFill>
        </w:rPr>
        <w:t>地下空间国有建设用地使用权独立供应前或地下空间国有建设用地使用权分层供应前，北京市规划和自然资源委员会经济技术开发区分局应当根据控制性详细规划或规划综合实施方案核定地下空间建设项目规划条件，并出具《“多规合一”协同平台审核意见的函》或《建设项目用地预审与选址意见书》，明确地下建设工程的用途、最大占地范围、开发深度、建筑量控制要求、与相邻建筑连通要求、周边地下空间保护要求等规划设计要求。</w:t>
      </w:r>
    </w:p>
    <w:p>
      <w:pPr>
        <w:adjustRightInd w:val="0"/>
        <w:snapToGrid w:val="0"/>
        <w:spacing w:line="560" w:lineRule="exact"/>
        <w:ind w:firstLine="640" w:firstLineChars="200"/>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仿宋"/>
          <w:caps/>
          <w:color w:val="000000" w:themeColor="text1"/>
          <w:kern w:val="0"/>
          <w:sz w:val="32"/>
          <w:szCs w:val="32"/>
          <w14:textFill>
            <w14:solidFill>
              <w14:schemeClr w14:val="tx1"/>
            </w14:solidFill>
          </w14:textFill>
        </w:rPr>
        <w:t>《“多规合一”协同平台审核意见的函》应当纳入《国有建设用地使用权出让合同》，《建设项目用地预审与选址意见书》应当纳入《国有建设用地划拨决定书》。</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w:t>
      </w:r>
      <w:r>
        <w:rPr>
          <w:rFonts w:ascii="仿宋" w:hAnsi="仿宋" w:eastAsia="黑体"/>
          <w:caps/>
          <w:color w:val="000000" w:themeColor="text1"/>
          <w:kern w:val="0"/>
          <w:sz w:val="32"/>
          <w:szCs w:val="32"/>
          <w14:textFill>
            <w14:solidFill>
              <w14:schemeClr w14:val="tx1"/>
            </w14:solidFill>
          </w14:textFill>
        </w:rPr>
        <w:t>十</w:t>
      </w:r>
      <w:r>
        <w:rPr>
          <w:rFonts w:hint="eastAsia" w:ascii="仿宋" w:hAnsi="仿宋" w:eastAsia="黑体"/>
          <w:caps/>
          <w:color w:val="000000" w:themeColor="text1"/>
          <w:kern w:val="0"/>
          <w:sz w:val="32"/>
          <w:szCs w:val="32"/>
          <w14:textFill>
            <w14:solidFill>
              <w14:schemeClr w14:val="tx1"/>
            </w14:solidFill>
          </w14:textFill>
        </w:rPr>
        <w:t xml:space="preserve">条【地下空间供应年限】 </w:t>
      </w:r>
      <w:r>
        <w:rPr>
          <w:rFonts w:hint="eastAsia" w:ascii="仿宋" w:hAnsi="仿宋" w:eastAsia="仿宋"/>
          <w:caps/>
          <w:color w:val="000000" w:themeColor="text1"/>
          <w:kern w:val="0"/>
          <w:sz w:val="32"/>
          <w:szCs w:val="32"/>
          <w14:textFill>
            <w14:solidFill>
              <w14:schemeClr w14:val="tx1"/>
            </w14:solidFill>
          </w14:textFill>
        </w:rPr>
        <w:t>按照批准的地下空间规划用途，依法确定相应的地下空间国有建设用地使用权出让年限。结建式地下空间国有建设用地使用权出让的终止年限不得超过地表对应国有建设用地使用权的终止年限。</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 xml:space="preserve">第十一条【地价标准】 </w:t>
      </w:r>
      <w:r>
        <w:rPr>
          <w:rFonts w:hint="eastAsia" w:ascii="仿宋" w:hAnsi="仿宋" w:eastAsia="仿宋"/>
          <w:caps/>
          <w:color w:val="000000" w:themeColor="text1"/>
          <w:kern w:val="0"/>
          <w:sz w:val="32"/>
          <w:szCs w:val="32"/>
          <w14:textFill>
            <w14:solidFill>
              <w14:schemeClr w14:val="tx1"/>
            </w14:solidFill>
          </w14:textFill>
        </w:rPr>
        <w:t>单建式非经营性地下空间国有建设用地使用权，不分摊土地开发成本。</w:t>
      </w:r>
    </w:p>
    <w:p>
      <w:pPr>
        <w:adjustRightInd w:val="0"/>
        <w:snapToGrid w:val="0"/>
        <w:spacing w:line="560" w:lineRule="exact"/>
        <w:ind w:firstLine="640" w:firstLineChars="200"/>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仿宋"/>
          <w:caps/>
          <w:color w:val="000000" w:themeColor="text1"/>
          <w:kern w:val="0"/>
          <w:sz w:val="32"/>
          <w:szCs w:val="32"/>
          <w14:textFill>
            <w14:solidFill>
              <w14:schemeClr w14:val="tx1"/>
            </w14:solidFill>
          </w14:textFill>
        </w:rPr>
        <w:t>单建式经营性地下空间国有建设用地使用权，商业、办公、居住类用途土地开发成本按照地下空间楼面熟地价的</w:t>
      </w:r>
      <w:r>
        <w:rPr>
          <w:rFonts w:ascii="仿宋" w:hAnsi="仿宋" w:eastAsia="仿宋"/>
          <w:caps/>
          <w:color w:val="000000" w:themeColor="text1"/>
          <w:kern w:val="0"/>
          <w:sz w:val="32"/>
          <w:szCs w:val="32"/>
          <w14:textFill>
            <w14:solidFill>
              <w14:schemeClr w14:val="tx1"/>
            </w14:solidFill>
          </w14:textFill>
        </w:rPr>
        <w:t>75</w:t>
      </w:r>
      <w:r>
        <w:rPr>
          <w:rFonts w:hint="eastAsia" w:ascii="仿宋" w:hAnsi="仿宋" w:eastAsia="仿宋"/>
          <w:caps/>
          <w:color w:val="000000" w:themeColor="text1"/>
          <w:kern w:val="0"/>
          <w:sz w:val="32"/>
          <w:szCs w:val="32"/>
          <w14:textFill>
            <w14:solidFill>
              <w14:schemeClr w14:val="tx1"/>
            </w14:solidFill>
          </w14:textFill>
        </w:rPr>
        <w:t>%确定，工业类用途土地开发成本按照地下空间楼面熟地价的</w:t>
      </w:r>
      <w:r>
        <w:rPr>
          <w:rFonts w:ascii="仿宋" w:hAnsi="仿宋" w:eastAsia="仿宋"/>
          <w:caps/>
          <w:color w:val="000000" w:themeColor="text1"/>
          <w:kern w:val="0"/>
          <w:sz w:val="32"/>
          <w:szCs w:val="32"/>
          <w14:textFill>
            <w14:solidFill>
              <w14:schemeClr w14:val="tx1"/>
            </w14:solidFill>
          </w14:textFill>
        </w:rPr>
        <w:t>8</w:t>
      </w:r>
      <w:r>
        <w:rPr>
          <w:rFonts w:hint="eastAsia" w:ascii="仿宋" w:hAnsi="仿宋" w:eastAsia="仿宋"/>
          <w:caps/>
          <w:color w:val="000000" w:themeColor="text1"/>
          <w:kern w:val="0"/>
          <w:sz w:val="32"/>
          <w:szCs w:val="32"/>
          <w14:textFill>
            <w14:solidFill>
              <w14:schemeClr w14:val="tx1"/>
            </w14:solidFill>
          </w14:textFill>
        </w:rPr>
        <w:t>5%确定。</w:t>
      </w:r>
    </w:p>
    <w:p>
      <w:pPr>
        <w:adjustRightInd w:val="0"/>
        <w:snapToGrid w:val="0"/>
        <w:spacing w:line="560" w:lineRule="exact"/>
        <w:ind w:firstLine="640" w:firstLineChars="200"/>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仿宋"/>
          <w:caps/>
          <w:color w:val="000000" w:themeColor="text1"/>
          <w:kern w:val="0"/>
          <w:sz w:val="32"/>
          <w:szCs w:val="32"/>
          <w14:textFill>
            <w14:solidFill>
              <w14:schemeClr w14:val="tx1"/>
            </w14:solidFill>
          </w14:textFill>
        </w:rPr>
        <w:t>以出让方式供应结建式地下空间国有建设用地使用权时，仅需依照北京市相关规定缴纳一定比例的政府土地出让收益。商业、办公、居住类用途政府土地出让收益按照地下空间楼面熟地价的2</w:t>
      </w:r>
      <w:r>
        <w:rPr>
          <w:rFonts w:ascii="仿宋" w:hAnsi="仿宋" w:eastAsia="仿宋"/>
          <w:caps/>
          <w:color w:val="000000" w:themeColor="text1"/>
          <w:kern w:val="0"/>
          <w:sz w:val="32"/>
          <w:szCs w:val="32"/>
          <w14:textFill>
            <w14:solidFill>
              <w14:schemeClr w14:val="tx1"/>
            </w14:solidFill>
          </w14:textFill>
        </w:rPr>
        <w:t>5</w:t>
      </w:r>
      <w:r>
        <w:rPr>
          <w:rFonts w:hint="eastAsia" w:ascii="仿宋" w:hAnsi="仿宋" w:eastAsia="仿宋"/>
          <w:caps/>
          <w:color w:val="000000" w:themeColor="text1"/>
          <w:kern w:val="0"/>
          <w:sz w:val="32"/>
          <w:szCs w:val="32"/>
          <w14:textFill>
            <w14:solidFill>
              <w14:schemeClr w14:val="tx1"/>
            </w14:solidFill>
          </w14:textFill>
        </w:rPr>
        <w:t>%</w:t>
      </w:r>
      <w:r>
        <w:rPr>
          <w:rFonts w:ascii="仿宋" w:hAnsi="仿宋" w:eastAsia="仿宋"/>
          <w:caps/>
          <w:color w:val="000000" w:themeColor="text1"/>
          <w:kern w:val="0"/>
          <w:sz w:val="32"/>
          <w:szCs w:val="32"/>
          <w14:textFill>
            <w14:solidFill>
              <w14:schemeClr w14:val="tx1"/>
            </w14:solidFill>
          </w14:textFill>
        </w:rPr>
        <w:t>确定</w:t>
      </w:r>
      <w:r>
        <w:rPr>
          <w:rFonts w:hint="eastAsia" w:ascii="仿宋" w:hAnsi="仿宋" w:eastAsia="仿宋"/>
          <w:caps/>
          <w:color w:val="000000" w:themeColor="text1"/>
          <w:kern w:val="0"/>
          <w:sz w:val="32"/>
          <w:szCs w:val="32"/>
          <w14:textFill>
            <w14:solidFill>
              <w14:schemeClr w14:val="tx1"/>
            </w14:solidFill>
          </w14:textFill>
        </w:rPr>
        <w:t>，</w:t>
      </w:r>
      <w:r>
        <w:rPr>
          <w:rFonts w:ascii="仿宋" w:hAnsi="仿宋" w:eastAsia="仿宋"/>
          <w:caps/>
          <w:color w:val="000000" w:themeColor="text1"/>
          <w:kern w:val="0"/>
          <w:sz w:val="32"/>
          <w:szCs w:val="32"/>
          <w14:textFill>
            <w14:solidFill>
              <w14:schemeClr w14:val="tx1"/>
            </w14:solidFill>
          </w14:textFill>
        </w:rPr>
        <w:t>工业类用途政府土地出让收益按照地下空间楼面熟地价的</w:t>
      </w:r>
      <w:r>
        <w:rPr>
          <w:rFonts w:hint="eastAsia" w:ascii="仿宋" w:hAnsi="仿宋" w:eastAsia="仿宋"/>
          <w:caps/>
          <w:color w:val="000000" w:themeColor="text1"/>
          <w:kern w:val="0"/>
          <w:sz w:val="32"/>
          <w:szCs w:val="32"/>
          <w14:textFill>
            <w14:solidFill>
              <w14:schemeClr w14:val="tx1"/>
            </w14:solidFill>
          </w14:textFill>
        </w:rPr>
        <w:t>1</w:t>
      </w:r>
      <w:r>
        <w:rPr>
          <w:rFonts w:ascii="仿宋" w:hAnsi="仿宋" w:eastAsia="仿宋"/>
          <w:caps/>
          <w:color w:val="000000" w:themeColor="text1"/>
          <w:kern w:val="0"/>
          <w:sz w:val="32"/>
          <w:szCs w:val="32"/>
          <w14:textFill>
            <w14:solidFill>
              <w14:schemeClr w14:val="tx1"/>
            </w14:solidFill>
          </w14:textFill>
        </w:rPr>
        <w:t>5</w:t>
      </w:r>
      <w:r>
        <w:rPr>
          <w:rFonts w:hint="eastAsia" w:ascii="仿宋" w:hAnsi="仿宋" w:eastAsia="仿宋"/>
          <w:caps/>
          <w:color w:val="000000" w:themeColor="text1"/>
          <w:kern w:val="0"/>
          <w:sz w:val="32"/>
          <w:szCs w:val="32"/>
          <w14:textFill>
            <w14:solidFill>
              <w14:schemeClr w14:val="tx1"/>
            </w14:solidFill>
          </w14:textFill>
        </w:rPr>
        <w:t>%</w:t>
      </w:r>
      <w:r>
        <w:rPr>
          <w:rFonts w:ascii="仿宋" w:hAnsi="仿宋" w:eastAsia="仿宋"/>
          <w:caps/>
          <w:color w:val="000000" w:themeColor="text1"/>
          <w:kern w:val="0"/>
          <w:sz w:val="32"/>
          <w:szCs w:val="32"/>
          <w14:textFill>
            <w14:solidFill>
              <w14:schemeClr w14:val="tx1"/>
            </w14:solidFill>
          </w14:textFill>
        </w:rPr>
        <w:t>确定</w:t>
      </w:r>
      <w:r>
        <w:rPr>
          <w:rFonts w:hint="eastAsia" w:ascii="仿宋" w:hAnsi="仿宋" w:eastAsia="仿宋"/>
          <w:caps/>
          <w:color w:val="000000" w:themeColor="text1"/>
          <w:kern w:val="0"/>
          <w:sz w:val="32"/>
          <w:szCs w:val="32"/>
          <w14:textFill>
            <w14:solidFill>
              <w14:schemeClr w14:val="tx1"/>
            </w14:solidFill>
          </w14:textFill>
        </w:rPr>
        <w:t>。地下空间楼面熟地价按照适用的基准地价乘以相应用途地下空间修正系数确定，地下空间修正系数依据北京市基准地价成果取值。</w:t>
      </w:r>
    </w:p>
    <w:p>
      <w:pPr>
        <w:adjustRightInd w:val="0"/>
        <w:snapToGrid w:val="0"/>
        <w:spacing w:line="560" w:lineRule="exact"/>
        <w:ind w:firstLine="640" w:firstLineChars="200"/>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仿宋"/>
          <w:caps/>
          <w:color w:val="000000" w:themeColor="text1"/>
          <w:kern w:val="0"/>
          <w:sz w:val="32"/>
          <w:szCs w:val="32"/>
          <w14:textFill>
            <w14:solidFill>
              <w14:schemeClr w14:val="tx1"/>
            </w14:solidFill>
          </w14:textFill>
        </w:rPr>
        <w:t>地下连通通道、地下工业国有</w:t>
      </w:r>
      <w:r>
        <w:rPr>
          <w:rFonts w:ascii="仿宋" w:hAnsi="仿宋" w:eastAsia="仿宋"/>
          <w:caps/>
          <w:color w:val="000000" w:themeColor="text1"/>
          <w:kern w:val="0"/>
          <w:sz w:val="32"/>
          <w:szCs w:val="32"/>
          <w14:textFill>
            <w14:solidFill>
              <w14:schemeClr w14:val="tx1"/>
            </w14:solidFill>
          </w14:textFill>
        </w:rPr>
        <w:t>建设用地使用权</w:t>
      </w:r>
      <w:r>
        <w:rPr>
          <w:rFonts w:hint="eastAsia" w:ascii="仿宋" w:hAnsi="仿宋" w:eastAsia="仿宋"/>
          <w:caps/>
          <w:color w:val="000000" w:themeColor="text1"/>
          <w:kern w:val="0"/>
          <w:sz w:val="32"/>
          <w:szCs w:val="32"/>
          <w14:textFill>
            <w14:solidFill>
              <w14:schemeClr w14:val="tx1"/>
            </w14:solidFill>
          </w14:textFill>
        </w:rPr>
        <w:t>涉及政府土地出让收益缴纳时，地下空间修正系数可</w:t>
      </w:r>
      <w:r>
        <w:rPr>
          <w:rFonts w:ascii="仿宋" w:hAnsi="仿宋" w:eastAsia="仿宋"/>
          <w:caps/>
          <w:color w:val="000000" w:themeColor="text1"/>
          <w:kern w:val="0"/>
          <w:sz w:val="32"/>
          <w:szCs w:val="32"/>
          <w14:textFill>
            <w14:solidFill>
              <w14:schemeClr w14:val="tx1"/>
            </w14:solidFill>
          </w14:textFill>
        </w:rPr>
        <w:t>参照</w:t>
      </w:r>
      <w:r>
        <w:rPr>
          <w:rFonts w:hint="eastAsia" w:ascii="仿宋" w:hAnsi="仿宋" w:eastAsia="仿宋"/>
          <w:caps/>
          <w:color w:val="000000" w:themeColor="text1"/>
          <w:kern w:val="0"/>
          <w:sz w:val="32"/>
          <w:szCs w:val="32"/>
          <w14:textFill>
            <w14:solidFill>
              <w14:schemeClr w14:val="tx1"/>
            </w14:solidFill>
          </w14:textFill>
        </w:rPr>
        <w:t>地下仓储的比例取值；当地下连通通道兼容商业用途时，兼容商业功能部分的建筑面积，按照地下商业确定。</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结建式地下空间与地表国有建设用地使用权一并供应时，土地出让合同约定的地下建设规划条件未能明确的，可在建设工程设计方案和建筑工程规划许可证中明确。土地受让人应当在地下建设工程规划许可证核发后、建筑工程施工许可证核发前，及时申请签订补充协议，补缴政府土地出让收益。</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主体功能为交通通道的空中连廊参照工业用地确定其出让地价；当空中连廊兼容商业用途时，兼容商业功能部分的建筑面积，按照商业用地确定。</w:t>
      </w:r>
    </w:p>
    <w:p>
      <w:pPr>
        <w:adjustRightInd w:val="0"/>
        <w:snapToGrid w:val="0"/>
        <w:spacing w:line="560" w:lineRule="exact"/>
        <w:jc w:val="center"/>
        <w:outlineLvl w:val="0"/>
        <w:rPr>
          <w:rFonts w:ascii="黑体" w:hAnsi="黑体" w:eastAsia="黑体"/>
          <w:bCs/>
          <w:caps/>
          <w:kern w:val="0"/>
          <w:sz w:val="32"/>
          <w:szCs w:val="32"/>
        </w:rPr>
      </w:pPr>
      <w:r>
        <w:rPr>
          <w:rFonts w:hint="eastAsia" w:ascii="黑体" w:hAnsi="黑体" w:eastAsia="黑体"/>
          <w:bCs/>
          <w:caps/>
          <w:kern w:val="0"/>
          <w:sz w:val="32"/>
          <w:szCs w:val="32"/>
        </w:rPr>
        <w:t>第</w:t>
      </w:r>
      <w:r>
        <w:rPr>
          <w:rFonts w:ascii="黑体" w:hAnsi="黑体" w:eastAsia="黑体"/>
          <w:bCs/>
          <w:caps/>
          <w:kern w:val="0"/>
          <w:sz w:val="32"/>
          <w:szCs w:val="32"/>
        </w:rPr>
        <w:t>四</w:t>
      </w:r>
      <w:r>
        <w:rPr>
          <w:rFonts w:hint="eastAsia" w:ascii="黑体" w:hAnsi="黑体" w:eastAsia="黑体"/>
          <w:bCs/>
          <w:caps/>
          <w:kern w:val="0"/>
          <w:sz w:val="32"/>
          <w:szCs w:val="32"/>
        </w:rPr>
        <w:t>章 开发与建设管理</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第十</w:t>
      </w:r>
      <w:r>
        <w:rPr>
          <w:rFonts w:ascii="仿宋" w:hAnsi="仿宋" w:eastAsia="黑体"/>
          <w:caps/>
          <w:color w:val="000000" w:themeColor="text1"/>
          <w:kern w:val="0"/>
          <w:sz w:val="32"/>
          <w:szCs w:val="32"/>
          <w14:textFill>
            <w14:solidFill>
              <w14:schemeClr w14:val="tx1"/>
            </w14:solidFill>
          </w14:textFill>
        </w:rPr>
        <w:t>二</w:t>
      </w:r>
      <w:r>
        <w:rPr>
          <w:rFonts w:hint="eastAsia" w:ascii="仿宋" w:hAnsi="仿宋" w:eastAsia="黑体"/>
          <w:caps/>
          <w:color w:val="000000" w:themeColor="text1"/>
          <w:kern w:val="0"/>
          <w:sz w:val="32"/>
          <w:szCs w:val="32"/>
          <w14:textFill>
            <w14:solidFill>
              <w14:schemeClr w14:val="tx1"/>
            </w14:solidFill>
          </w14:textFill>
        </w:rPr>
        <w:t xml:space="preserve">条【轨道交通与项目用地一体化综合开发】 </w:t>
      </w:r>
      <w:r>
        <w:rPr>
          <w:rFonts w:hint="eastAsia" w:ascii="仿宋" w:hAnsi="仿宋" w:eastAsia="仿宋"/>
          <w:caps/>
          <w:color w:val="000000" w:themeColor="text1"/>
          <w:kern w:val="0"/>
          <w:sz w:val="32"/>
          <w:szCs w:val="32"/>
          <w14:textFill>
            <w14:solidFill>
              <w14:schemeClr w14:val="tx1"/>
            </w14:solidFill>
          </w14:textFill>
        </w:rPr>
        <w:t>轨道交通建设应当与沿线地块、道路、地下市政设施等工程建设相衔接，鼓励地下轨道交通与地上开发项目用地实施分层供地、一体化综合开发。</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轨道交通建设单位按规划要求预留与地上、周边工程的接口条件，实现地上地下空间资源一体化高效利用。</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地下轨道交通工程建成后可以“带设计方案”或以“带地下建设工程”形式招标或挂牌出让。</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第十</w:t>
      </w:r>
      <w:r>
        <w:rPr>
          <w:rFonts w:ascii="仿宋" w:hAnsi="仿宋" w:eastAsia="黑体"/>
          <w:caps/>
          <w:color w:val="000000" w:themeColor="text1"/>
          <w:kern w:val="0"/>
          <w:sz w:val="32"/>
          <w:szCs w:val="32"/>
          <w14:textFill>
            <w14:solidFill>
              <w14:schemeClr w14:val="tx1"/>
            </w14:solidFill>
          </w14:textFill>
        </w:rPr>
        <w:t>三</w:t>
      </w:r>
      <w:r>
        <w:rPr>
          <w:rFonts w:hint="eastAsia" w:ascii="仿宋" w:hAnsi="仿宋" w:eastAsia="黑体"/>
          <w:caps/>
          <w:color w:val="000000" w:themeColor="text1"/>
          <w:kern w:val="0"/>
          <w:sz w:val="32"/>
          <w:szCs w:val="32"/>
          <w14:textFill>
            <w14:solidFill>
              <w14:schemeClr w14:val="tx1"/>
            </w14:solidFill>
          </w14:textFill>
        </w:rPr>
        <w:t xml:space="preserve">条【地下空间整体开发模式】 </w:t>
      </w:r>
      <w:r>
        <w:rPr>
          <w:rFonts w:hint="eastAsia" w:ascii="仿宋" w:hAnsi="仿宋" w:eastAsia="仿宋"/>
          <w:caps/>
          <w:color w:val="000000" w:themeColor="text1"/>
          <w:kern w:val="0"/>
          <w:sz w:val="32"/>
          <w:szCs w:val="32"/>
          <w14:textFill>
            <w14:solidFill>
              <w14:schemeClr w14:val="tx1"/>
            </w14:solidFill>
          </w14:textFill>
        </w:rPr>
        <w:t>因规划需要或建设单位对相邻地块地下空间有整体开发要求的，可由整体开发的建设单位统一办理地下空间项目立项，整体设计，统一建设；建成的地下空间可分宗单独供应，也可与地表国有建设用地使用权分宗采取“带地下建设工程”一并供应。</w:t>
      </w:r>
    </w:p>
    <w:p>
      <w:pPr>
        <w:adjustRightInd w:val="0"/>
        <w:snapToGrid w:val="0"/>
        <w:spacing w:line="560" w:lineRule="exact"/>
        <w:ind w:firstLine="640" w:firstLineChars="200"/>
        <w:rPr>
          <w:rFonts w:ascii="仿宋" w:hAnsi="仿宋" w:eastAsia="仿宋"/>
          <w:color w:val="000000" w:themeColor="text1"/>
          <w:kern w:val="0"/>
          <w:sz w:val="32"/>
          <w:szCs w:val="32"/>
          <w14:textFill>
            <w14:solidFill>
              <w14:schemeClr w14:val="tx1"/>
            </w14:solidFill>
          </w14:textFill>
        </w:rPr>
      </w:pPr>
      <w:r>
        <w:rPr>
          <w:rFonts w:hint="eastAsia" w:ascii="仿宋" w:hAnsi="仿宋" w:eastAsia="仿宋"/>
          <w:color w:val="000000" w:themeColor="text1"/>
          <w:kern w:val="0"/>
          <w:sz w:val="32"/>
          <w:szCs w:val="32"/>
          <w14:textFill>
            <w14:solidFill>
              <w14:schemeClr w14:val="tx1"/>
            </w14:solidFill>
          </w14:textFill>
        </w:rPr>
        <w:t>委托一个建设主体统一建设但实行分宗供应的区域地下空间，土地供应条件中应当明确统一建设的要求，地下建设工程设计方案和规划许可文件中应当充分考虑各宗地地下空间的物理分割条件，合理确定地下工程布局，各宗地地下空间分割界线应当与地上权属界线相协调。</w:t>
      </w:r>
    </w:p>
    <w:p>
      <w:pPr>
        <w:adjustRightInd w:val="0"/>
        <w:snapToGrid w:val="0"/>
        <w:spacing w:line="560" w:lineRule="exact"/>
        <w:ind w:firstLine="640" w:firstLineChars="200"/>
        <w:outlineLvl w:val="1"/>
        <w:rPr>
          <w:rFonts w:ascii="仿宋" w:hAnsi="仿宋" w:eastAsia="仿宋"/>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第十</w:t>
      </w:r>
      <w:r>
        <w:rPr>
          <w:rFonts w:ascii="仿宋" w:hAnsi="仿宋" w:eastAsia="黑体"/>
          <w:caps/>
          <w:color w:val="000000" w:themeColor="text1"/>
          <w:kern w:val="0"/>
          <w:sz w:val="32"/>
          <w:szCs w:val="32"/>
          <w14:textFill>
            <w14:solidFill>
              <w14:schemeClr w14:val="tx1"/>
            </w14:solidFill>
          </w14:textFill>
        </w:rPr>
        <w:t>四</w:t>
      </w:r>
      <w:r>
        <w:rPr>
          <w:rFonts w:hint="eastAsia" w:ascii="仿宋" w:hAnsi="仿宋" w:eastAsia="黑体"/>
          <w:caps/>
          <w:color w:val="000000" w:themeColor="text1"/>
          <w:kern w:val="0"/>
          <w:sz w:val="32"/>
          <w:szCs w:val="32"/>
          <w14:textFill>
            <w14:solidFill>
              <w14:schemeClr w14:val="tx1"/>
            </w14:solidFill>
          </w14:textFill>
        </w:rPr>
        <w:t xml:space="preserve">条【地下空间互联互通】 </w:t>
      </w:r>
      <w:r>
        <w:rPr>
          <w:rFonts w:hint="eastAsia" w:ascii="仿宋" w:hAnsi="仿宋" w:eastAsia="仿宋"/>
          <w:color w:val="000000" w:themeColor="text1"/>
          <w:kern w:val="0"/>
          <w:sz w:val="32"/>
          <w:szCs w:val="32"/>
          <w14:textFill>
            <w14:solidFill>
              <w14:schemeClr w14:val="tx1"/>
            </w14:solidFill>
          </w14:textFill>
        </w:rPr>
        <w:t>地下空间的工程建设涉及地下连通工程的，先建单位应当按照规划要求和有关设计规范预留地下连通工程的接口，后建单位负责后续地下连通通道建设。</w:t>
      </w:r>
    </w:p>
    <w:p>
      <w:pPr>
        <w:adjustRightInd w:val="0"/>
        <w:snapToGrid w:val="0"/>
        <w:spacing w:line="560" w:lineRule="exact"/>
        <w:ind w:firstLine="640" w:firstLineChars="200"/>
        <w:outlineLvl w:val="1"/>
        <w:rPr>
          <w:rFonts w:hint="eastAsia"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第十</w:t>
      </w:r>
      <w:r>
        <w:rPr>
          <w:rFonts w:ascii="仿宋" w:hAnsi="仿宋" w:eastAsia="黑体"/>
          <w:caps/>
          <w:color w:val="000000" w:themeColor="text1"/>
          <w:kern w:val="0"/>
          <w:sz w:val="32"/>
          <w:szCs w:val="32"/>
          <w14:textFill>
            <w14:solidFill>
              <w14:schemeClr w14:val="tx1"/>
            </w14:solidFill>
          </w14:textFill>
        </w:rPr>
        <w:t>五</w:t>
      </w:r>
      <w:r>
        <w:rPr>
          <w:rFonts w:hint="eastAsia" w:ascii="仿宋" w:hAnsi="仿宋" w:eastAsia="黑体"/>
          <w:caps/>
          <w:color w:val="000000" w:themeColor="text1"/>
          <w:kern w:val="0"/>
          <w:sz w:val="32"/>
          <w:szCs w:val="32"/>
          <w14:textFill>
            <w14:solidFill>
              <w14:schemeClr w14:val="tx1"/>
            </w14:solidFill>
          </w14:textFill>
        </w:rPr>
        <w:t xml:space="preserve">条【开工竣工期限】 </w:t>
      </w:r>
      <w:r>
        <w:rPr>
          <w:rFonts w:hint="eastAsia" w:ascii="仿宋" w:hAnsi="仿宋" w:eastAsia="仿宋"/>
          <w:caps/>
          <w:color w:val="000000" w:themeColor="text1"/>
          <w:kern w:val="0"/>
          <w:sz w:val="32"/>
          <w:szCs w:val="32"/>
          <w14:textFill>
            <w14:solidFill>
              <w14:schemeClr w14:val="tx1"/>
            </w14:solidFill>
          </w14:textFill>
        </w:rPr>
        <w:t>建</w:t>
      </w:r>
      <w:bookmarkStart w:id="0" w:name="_GoBack"/>
      <w:r>
        <w:rPr>
          <w:rFonts w:hint="eastAsia" w:ascii="仿宋" w:hAnsi="仿宋" w:eastAsia="仿宋"/>
          <w:caps/>
          <w:color w:val="000000" w:themeColor="text1"/>
          <w:kern w:val="0"/>
          <w:sz w:val="32"/>
          <w:szCs w:val="32"/>
          <w14:textFill>
            <w14:solidFill>
              <w14:schemeClr w14:val="tx1"/>
            </w14:solidFill>
          </w14:textFill>
        </w:rPr>
        <w:t>设单位应自签订土地出让合同或划拨决定书签发之日起1年内开工。</w:t>
      </w:r>
    </w:p>
    <w:p>
      <w:pPr>
        <w:adjustRightInd w:val="0"/>
        <w:snapToGrid w:val="0"/>
        <w:spacing w:line="560" w:lineRule="exact"/>
        <w:ind w:firstLine="640" w:firstLineChars="200"/>
        <w:outlineLvl w:val="1"/>
        <w:rPr>
          <w:rFonts w:hint="eastAsia" w:ascii="仿宋" w:hAnsi="仿宋" w:eastAsia="仿宋"/>
          <w:caps/>
          <w:color w:val="000000" w:themeColor="text1"/>
          <w:kern w:val="0"/>
          <w:sz w:val="32"/>
          <w:szCs w:val="32"/>
          <w14:textFill>
            <w14:solidFill>
              <w14:schemeClr w14:val="tx1"/>
            </w14:solidFill>
          </w14:textFill>
        </w:rPr>
      </w:pPr>
      <w:r>
        <w:rPr>
          <w:rFonts w:hint="eastAsia" w:ascii="仿宋" w:hAnsi="仿宋" w:eastAsia="仿宋"/>
          <w:caps/>
          <w:color w:val="000000" w:themeColor="text1"/>
          <w:kern w:val="0"/>
          <w:sz w:val="32"/>
          <w:szCs w:val="32"/>
          <w14:textFill>
            <w14:solidFill>
              <w14:schemeClr w14:val="tx1"/>
            </w14:solidFill>
          </w14:textFill>
        </w:rPr>
        <w:t>根据项目用地性质、建筑高度和地下工程的不同，对竣工期限作如下规定：</w:t>
      </w:r>
    </w:p>
    <w:p>
      <w:pPr>
        <w:adjustRightInd w:val="0"/>
        <w:snapToGrid w:val="0"/>
        <w:spacing w:line="560" w:lineRule="exact"/>
        <w:ind w:firstLine="640" w:firstLineChars="200"/>
        <w:outlineLvl w:val="1"/>
        <w:rPr>
          <w:rFonts w:hint="eastAsia" w:ascii="仿宋" w:hAnsi="仿宋" w:eastAsia="仿宋"/>
          <w:caps/>
          <w:color w:val="000000" w:themeColor="text1"/>
          <w:kern w:val="0"/>
          <w:sz w:val="32"/>
          <w:szCs w:val="32"/>
          <w14:textFill>
            <w14:solidFill>
              <w14:schemeClr w14:val="tx1"/>
            </w14:solidFill>
          </w14:textFill>
        </w:rPr>
      </w:pPr>
      <w:r>
        <w:rPr>
          <w:rFonts w:hint="eastAsia" w:ascii="仿宋" w:hAnsi="仿宋" w:eastAsia="仿宋"/>
          <w:caps/>
          <w:color w:val="000000" w:themeColor="text1"/>
          <w:kern w:val="0"/>
          <w:sz w:val="32"/>
          <w:szCs w:val="32"/>
          <w14:textFill>
            <w14:solidFill>
              <w14:schemeClr w14:val="tx1"/>
            </w14:solidFill>
          </w14:textFill>
        </w:rPr>
        <w:t>（一）主体功能为住房类建设项目，应自开工之日起3年内竣工。</w:t>
      </w:r>
    </w:p>
    <w:p>
      <w:pPr>
        <w:adjustRightInd w:val="0"/>
        <w:snapToGrid w:val="0"/>
        <w:spacing w:line="560" w:lineRule="exact"/>
        <w:ind w:firstLine="640" w:firstLineChars="200"/>
        <w:outlineLvl w:val="1"/>
        <w:rPr>
          <w:rFonts w:hint="eastAsia" w:ascii="仿宋" w:hAnsi="仿宋" w:eastAsia="仿宋"/>
          <w:caps/>
          <w:color w:val="000000" w:themeColor="text1"/>
          <w:kern w:val="0"/>
          <w:sz w:val="32"/>
          <w:szCs w:val="32"/>
          <w14:textFill>
            <w14:solidFill>
              <w14:schemeClr w14:val="tx1"/>
            </w14:solidFill>
          </w14:textFill>
        </w:rPr>
      </w:pPr>
      <w:r>
        <w:rPr>
          <w:rFonts w:hint="eastAsia" w:ascii="仿宋" w:hAnsi="仿宋" w:eastAsia="仿宋"/>
          <w:caps/>
          <w:color w:val="000000" w:themeColor="text1"/>
          <w:kern w:val="0"/>
          <w:sz w:val="32"/>
          <w:szCs w:val="32"/>
          <w14:textFill>
            <w14:solidFill>
              <w14:schemeClr w14:val="tx1"/>
            </w14:solidFill>
          </w14:textFill>
        </w:rPr>
        <w:t>（二）主体功能为商业办公类建设项目，地上建筑高度小于等于80米的，应自开工之日起3年内竣工；地上建筑高度大于80米的，应自开工之日起4年内竣工。</w:t>
      </w:r>
    </w:p>
    <w:p>
      <w:pPr>
        <w:adjustRightInd w:val="0"/>
        <w:snapToGrid w:val="0"/>
        <w:spacing w:line="560" w:lineRule="exact"/>
        <w:ind w:firstLine="640" w:firstLineChars="200"/>
        <w:outlineLvl w:val="1"/>
        <w:rPr>
          <w:rFonts w:ascii="仿宋" w:hAnsi="仿宋" w:eastAsia="仿宋"/>
          <w:bCs/>
          <w:color w:val="000000" w:themeColor="text1"/>
          <w:kern w:val="0"/>
          <w:sz w:val="32"/>
          <w:szCs w:val="32"/>
          <w14:textFill>
            <w14:solidFill>
              <w14:schemeClr w14:val="tx1"/>
            </w14:solidFill>
          </w14:textFill>
        </w:rPr>
      </w:pPr>
      <w:r>
        <w:rPr>
          <w:rFonts w:hint="eastAsia" w:ascii="仿宋" w:hAnsi="仿宋" w:eastAsia="仿宋"/>
          <w:caps/>
          <w:color w:val="000000" w:themeColor="text1"/>
          <w:kern w:val="0"/>
          <w:sz w:val="32"/>
          <w:szCs w:val="32"/>
          <w14:textFill>
            <w14:solidFill>
              <w14:schemeClr w14:val="tx1"/>
            </w14:solidFill>
          </w14:textFill>
        </w:rPr>
        <w:t>（三）主体功能为工业类建设项目，按照《</w:t>
      </w:r>
      <w:bookmarkEnd w:id="0"/>
      <w:r>
        <w:rPr>
          <w:rFonts w:hint="eastAsia" w:ascii="仿宋" w:hAnsi="仿宋" w:eastAsia="仿宋"/>
          <w:bCs/>
          <w:color w:val="000000" w:themeColor="text1"/>
          <w:kern w:val="0"/>
          <w:sz w:val="32"/>
          <w:szCs w:val="32"/>
          <w14:textFill>
            <w14:solidFill>
              <w14:schemeClr w14:val="tx1"/>
            </w14:solidFill>
          </w14:textFill>
        </w:rPr>
        <w:t>入区协议》要求设定竣工时间，建设单位按照《北京市建设工程工期定额》初步计算工期，原则上应自开工之日起2-3年内竣工。在设计、工艺、建筑等方面有特殊要求的产业类项目，其竣工日期可以在前述规定基础上再延长1年。产业类项目在供地之前，应提前推进项目规划方案编制、施工图设计等工作，缩短建设周期。</w:t>
      </w:r>
    </w:p>
    <w:p>
      <w:pPr>
        <w:adjustRightInd w:val="0"/>
        <w:snapToGrid w:val="0"/>
        <w:spacing w:line="560" w:lineRule="exact"/>
        <w:ind w:firstLine="640" w:firstLineChars="200"/>
        <w:rPr>
          <w:rFonts w:ascii="仿宋" w:hAnsi="仿宋" w:eastAsia="仿宋"/>
          <w:bCs/>
          <w:color w:val="000000" w:themeColor="text1"/>
          <w:kern w:val="0"/>
          <w:sz w:val="32"/>
          <w:szCs w:val="32"/>
          <w14:textFill>
            <w14:solidFill>
              <w14:schemeClr w14:val="tx1"/>
            </w14:solidFill>
          </w14:textFill>
        </w:rPr>
      </w:pPr>
      <w:r>
        <w:rPr>
          <w:rFonts w:ascii="仿宋" w:hAnsi="仿宋" w:eastAsia="仿宋"/>
          <w:bCs/>
          <w:color w:val="000000" w:themeColor="text1"/>
          <w:kern w:val="0"/>
          <w:sz w:val="32"/>
          <w:szCs w:val="32"/>
          <w14:textFill>
            <w14:solidFill>
              <w14:schemeClr w14:val="tx1"/>
            </w14:solidFill>
          </w14:textFill>
        </w:rPr>
        <w:t>（</w:t>
      </w:r>
      <w:r>
        <w:rPr>
          <w:rFonts w:hint="eastAsia" w:ascii="仿宋" w:hAnsi="仿宋" w:eastAsia="仿宋"/>
          <w:bCs/>
          <w:color w:val="000000" w:themeColor="text1"/>
          <w:kern w:val="0"/>
          <w:sz w:val="32"/>
          <w:szCs w:val="32"/>
          <w14:textFill>
            <w14:solidFill>
              <w14:schemeClr w14:val="tx1"/>
            </w14:solidFill>
          </w14:textFill>
        </w:rPr>
        <w:t>四）商业办公类、工业类项目地下工程在3层（不含）以上的，其竣工</w:t>
      </w:r>
      <w:r>
        <w:rPr>
          <w:rFonts w:ascii="仿宋" w:hAnsi="仿宋" w:eastAsia="仿宋"/>
          <w:bCs/>
          <w:color w:val="000000" w:themeColor="text1"/>
          <w:kern w:val="0"/>
          <w:sz w:val="32"/>
          <w:szCs w:val="32"/>
          <w14:textFill>
            <w14:solidFill>
              <w14:schemeClr w14:val="tx1"/>
            </w14:solidFill>
          </w14:textFill>
        </w:rPr>
        <w:t>期限</w:t>
      </w:r>
      <w:r>
        <w:rPr>
          <w:rFonts w:hint="eastAsia" w:ascii="仿宋" w:hAnsi="仿宋" w:eastAsia="仿宋"/>
          <w:bCs/>
          <w:color w:val="000000" w:themeColor="text1"/>
          <w:kern w:val="0"/>
          <w:sz w:val="32"/>
          <w:szCs w:val="32"/>
          <w14:textFill>
            <w14:solidFill>
              <w14:schemeClr w14:val="tx1"/>
            </w14:solidFill>
          </w14:textFill>
        </w:rPr>
        <w:t>可以在</w:t>
      </w:r>
      <w:r>
        <w:rPr>
          <w:rFonts w:ascii="仿宋" w:hAnsi="仿宋" w:eastAsia="仿宋"/>
          <w:bCs/>
          <w:color w:val="000000" w:themeColor="text1"/>
          <w:kern w:val="0"/>
          <w:sz w:val="32"/>
          <w:szCs w:val="32"/>
          <w14:textFill>
            <w14:solidFill>
              <w14:schemeClr w14:val="tx1"/>
            </w14:solidFill>
          </w14:textFill>
        </w:rPr>
        <w:t>前述</w:t>
      </w:r>
      <w:r>
        <w:rPr>
          <w:rFonts w:hint="eastAsia" w:ascii="仿宋" w:hAnsi="仿宋" w:eastAsia="仿宋"/>
          <w:bCs/>
          <w:color w:val="000000" w:themeColor="text1"/>
          <w:kern w:val="0"/>
          <w:sz w:val="32"/>
          <w:szCs w:val="32"/>
          <w14:textFill>
            <w14:solidFill>
              <w14:schemeClr w14:val="tx1"/>
            </w14:solidFill>
          </w14:textFill>
        </w:rPr>
        <w:t>规定基础上再延长1年。</w:t>
      </w:r>
    </w:p>
    <w:p>
      <w:pPr>
        <w:adjustRightInd w:val="0"/>
        <w:snapToGrid w:val="0"/>
        <w:spacing w:line="560" w:lineRule="exact"/>
        <w:ind w:firstLine="640" w:firstLineChars="200"/>
        <w:rPr>
          <w:rFonts w:ascii="仿宋" w:hAnsi="仿宋" w:eastAsia="仿宋"/>
          <w:bCs/>
          <w:color w:val="000000" w:themeColor="text1"/>
          <w:kern w:val="0"/>
          <w:sz w:val="32"/>
          <w:szCs w:val="32"/>
          <w14:textFill>
            <w14:solidFill>
              <w14:schemeClr w14:val="tx1"/>
            </w14:solidFill>
          </w14:textFill>
        </w:rPr>
      </w:pPr>
      <w:r>
        <w:rPr>
          <w:rFonts w:ascii="仿宋" w:hAnsi="仿宋" w:eastAsia="仿宋"/>
          <w:bCs/>
          <w:color w:val="000000" w:themeColor="text1"/>
          <w:kern w:val="0"/>
          <w:sz w:val="32"/>
          <w:szCs w:val="32"/>
          <w14:textFill>
            <w14:solidFill>
              <w14:schemeClr w14:val="tx1"/>
            </w14:solidFill>
          </w14:textFill>
        </w:rPr>
        <w:t>上述规定的建设项目开工竣工期限</w:t>
      </w:r>
      <w:r>
        <w:rPr>
          <w:rFonts w:hint="eastAsia" w:ascii="仿宋" w:hAnsi="仿宋" w:eastAsia="仿宋"/>
          <w:bCs/>
          <w:color w:val="000000" w:themeColor="text1"/>
          <w:kern w:val="0"/>
          <w:sz w:val="32"/>
          <w:szCs w:val="32"/>
          <w14:textFill>
            <w14:solidFill>
              <w14:schemeClr w14:val="tx1"/>
            </w14:solidFill>
          </w14:textFill>
        </w:rPr>
        <w:t>，</w:t>
      </w:r>
      <w:r>
        <w:rPr>
          <w:rFonts w:ascii="仿宋" w:hAnsi="仿宋" w:eastAsia="仿宋"/>
          <w:bCs/>
          <w:color w:val="000000" w:themeColor="text1"/>
          <w:kern w:val="0"/>
          <w:sz w:val="32"/>
          <w:szCs w:val="32"/>
          <w14:textFill>
            <w14:solidFill>
              <w14:schemeClr w14:val="tx1"/>
            </w14:solidFill>
          </w14:textFill>
        </w:rPr>
        <w:t>应当在</w:t>
      </w:r>
      <w:r>
        <w:rPr>
          <w:rFonts w:hint="eastAsia" w:ascii="仿宋" w:hAnsi="仿宋" w:eastAsia="仿宋"/>
          <w:bCs/>
          <w:color w:val="000000" w:themeColor="text1"/>
          <w:kern w:val="0"/>
          <w:sz w:val="32"/>
          <w:szCs w:val="32"/>
          <w14:textFill>
            <w14:solidFill>
              <w14:schemeClr w14:val="tx1"/>
            </w14:solidFill>
          </w14:textFill>
        </w:rPr>
        <w:t>《国有建设用地使用权出让合同》或《国有建设用地划拨决定书》中明确出具体的时间。项目取得《建筑工程施工许可证》后，可依据证载合同工期申请进行竣工时间变更。</w:t>
      </w:r>
    </w:p>
    <w:p>
      <w:pPr>
        <w:adjustRightInd w:val="0"/>
        <w:snapToGrid w:val="0"/>
        <w:spacing w:line="560" w:lineRule="exact"/>
        <w:jc w:val="center"/>
        <w:outlineLvl w:val="0"/>
        <w:rPr>
          <w:rFonts w:ascii="黑体" w:hAnsi="黑体" w:eastAsia="黑体"/>
          <w:bCs/>
          <w:caps/>
          <w:kern w:val="0"/>
          <w:sz w:val="32"/>
          <w:szCs w:val="32"/>
        </w:rPr>
      </w:pPr>
      <w:r>
        <w:rPr>
          <w:rFonts w:hint="eastAsia" w:ascii="黑体" w:hAnsi="黑体" w:eastAsia="黑体"/>
          <w:bCs/>
          <w:caps/>
          <w:kern w:val="0"/>
          <w:sz w:val="32"/>
          <w:szCs w:val="32"/>
        </w:rPr>
        <w:t>第</w:t>
      </w:r>
      <w:r>
        <w:rPr>
          <w:rFonts w:ascii="黑体" w:hAnsi="黑体" w:eastAsia="黑体"/>
          <w:bCs/>
          <w:caps/>
          <w:kern w:val="0"/>
          <w:sz w:val="32"/>
          <w:szCs w:val="32"/>
        </w:rPr>
        <w:t>五</w:t>
      </w:r>
      <w:r>
        <w:rPr>
          <w:rFonts w:hint="eastAsia" w:ascii="黑体" w:hAnsi="黑体" w:eastAsia="黑体"/>
          <w:bCs/>
          <w:caps/>
          <w:kern w:val="0"/>
          <w:sz w:val="32"/>
          <w:szCs w:val="32"/>
        </w:rPr>
        <w:t>章 不动产权登记</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第十</w:t>
      </w:r>
      <w:r>
        <w:rPr>
          <w:rFonts w:ascii="仿宋" w:hAnsi="仿宋" w:eastAsia="黑体"/>
          <w:caps/>
          <w:color w:val="000000" w:themeColor="text1"/>
          <w:kern w:val="0"/>
          <w:sz w:val="32"/>
          <w:szCs w:val="32"/>
          <w14:textFill>
            <w14:solidFill>
              <w14:schemeClr w14:val="tx1"/>
            </w14:solidFill>
          </w14:textFill>
        </w:rPr>
        <w:t>六</w:t>
      </w:r>
      <w:r>
        <w:rPr>
          <w:rFonts w:hint="eastAsia" w:ascii="仿宋" w:hAnsi="仿宋" w:eastAsia="黑体"/>
          <w:caps/>
          <w:color w:val="000000" w:themeColor="text1"/>
          <w:kern w:val="0"/>
          <w:sz w:val="32"/>
          <w:szCs w:val="32"/>
          <w14:textFill>
            <w14:solidFill>
              <w14:schemeClr w14:val="tx1"/>
            </w14:solidFill>
          </w14:textFill>
        </w:rPr>
        <w:t xml:space="preserve">条【不动产权登记】 </w:t>
      </w:r>
      <w:r>
        <w:rPr>
          <w:rFonts w:hint="eastAsia" w:ascii="仿宋" w:hAnsi="仿宋" w:eastAsia="仿宋"/>
          <w:caps/>
          <w:color w:val="000000" w:themeColor="text1"/>
          <w:kern w:val="0"/>
          <w:sz w:val="32"/>
          <w:szCs w:val="32"/>
          <w14:textFill>
            <w14:solidFill>
              <w14:schemeClr w14:val="tx1"/>
            </w14:solidFill>
          </w14:textFill>
        </w:rPr>
        <w:t>地下空间和地上空间国有建设用地使用权及建（构）筑物的不动产权登记，按照《不动产登记暂行条例实施细则》规定的程序和类型办理。</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第十</w:t>
      </w:r>
      <w:r>
        <w:rPr>
          <w:rFonts w:ascii="仿宋" w:hAnsi="仿宋" w:eastAsia="黑体"/>
          <w:caps/>
          <w:color w:val="000000" w:themeColor="text1"/>
          <w:kern w:val="0"/>
          <w:sz w:val="32"/>
          <w:szCs w:val="32"/>
          <w14:textFill>
            <w14:solidFill>
              <w14:schemeClr w14:val="tx1"/>
            </w14:solidFill>
          </w14:textFill>
        </w:rPr>
        <w:t>七</w:t>
      </w:r>
      <w:r>
        <w:rPr>
          <w:rFonts w:hint="eastAsia" w:ascii="仿宋" w:hAnsi="仿宋" w:eastAsia="黑体"/>
          <w:caps/>
          <w:color w:val="000000" w:themeColor="text1"/>
          <w:kern w:val="0"/>
          <w:sz w:val="32"/>
          <w:szCs w:val="32"/>
          <w14:textFill>
            <w14:solidFill>
              <w14:schemeClr w14:val="tx1"/>
            </w14:solidFill>
          </w14:textFill>
        </w:rPr>
        <w:t xml:space="preserve">条【技术标准】 </w:t>
      </w:r>
      <w:r>
        <w:rPr>
          <w:rFonts w:hint="eastAsia" w:ascii="仿宋" w:hAnsi="仿宋" w:eastAsia="仿宋"/>
          <w:caps/>
          <w:color w:val="000000" w:themeColor="text1"/>
          <w:kern w:val="0"/>
          <w:sz w:val="32"/>
          <w:szCs w:val="32"/>
          <w14:textFill>
            <w14:solidFill>
              <w14:schemeClr w14:val="tx1"/>
            </w14:solidFill>
          </w14:textFill>
        </w:rPr>
        <w:t>按照《国有建设用地使用权出让合同》或《国有建设用地划拨决定书》以及《建设工程规划许可证》等规划许可建成的地下空间建（构）筑物、地上空间建（构）筑物，经规划核实和竣工验收合格后，地下空间和地上空间国有建设用地使用权以宗地为单位登记，并通过水平投影坐标、竖向高程、相对标高和水平投影最大面积确定其权属范围。分层设立的国有建设用地使用权，应当在宗地图上注明所在层次、</w:t>
      </w:r>
      <w:r>
        <w:rPr>
          <w:rFonts w:ascii="仿宋" w:hAnsi="仿宋" w:eastAsia="仿宋"/>
          <w:caps/>
          <w:color w:val="000000" w:themeColor="text1"/>
          <w:kern w:val="0"/>
          <w:sz w:val="32"/>
          <w:szCs w:val="32"/>
          <w14:textFill>
            <w14:solidFill>
              <w14:schemeClr w14:val="tx1"/>
            </w14:solidFill>
          </w14:textFill>
        </w:rPr>
        <w:t>平面四至</w:t>
      </w:r>
      <w:r>
        <w:rPr>
          <w:rFonts w:hint="eastAsia" w:ascii="仿宋" w:hAnsi="仿宋" w:eastAsia="仿宋"/>
          <w:caps/>
          <w:color w:val="000000" w:themeColor="text1"/>
          <w:kern w:val="0"/>
          <w:sz w:val="32"/>
          <w:szCs w:val="32"/>
          <w14:textFill>
            <w14:solidFill>
              <w14:schemeClr w14:val="tx1"/>
            </w14:solidFill>
          </w14:textFill>
        </w:rPr>
        <w:t>和竖向</w:t>
      </w:r>
      <w:r>
        <w:rPr>
          <w:rFonts w:ascii="仿宋" w:hAnsi="仿宋" w:eastAsia="仿宋"/>
          <w:caps/>
          <w:color w:val="000000" w:themeColor="text1"/>
          <w:kern w:val="0"/>
          <w:sz w:val="32"/>
          <w:szCs w:val="32"/>
          <w14:textFill>
            <w14:solidFill>
              <w14:schemeClr w14:val="tx1"/>
            </w14:solidFill>
          </w14:textFill>
        </w:rPr>
        <w:t>高程</w:t>
      </w:r>
      <w:r>
        <w:rPr>
          <w:rFonts w:hint="eastAsia" w:ascii="仿宋" w:hAnsi="仿宋" w:eastAsia="仿宋"/>
          <w:caps/>
          <w:color w:val="000000" w:themeColor="text1"/>
          <w:kern w:val="0"/>
          <w:sz w:val="32"/>
          <w:szCs w:val="32"/>
          <w14:textFill>
            <w14:solidFill>
              <w14:schemeClr w14:val="tx1"/>
            </w14:solidFill>
          </w14:textFill>
        </w:rPr>
        <w:t>、</w:t>
      </w:r>
      <w:r>
        <w:rPr>
          <w:rFonts w:ascii="仿宋" w:hAnsi="仿宋" w:eastAsia="仿宋"/>
          <w:caps/>
          <w:color w:val="000000" w:themeColor="text1"/>
          <w:kern w:val="0"/>
          <w:sz w:val="32"/>
          <w:szCs w:val="32"/>
          <w14:textFill>
            <w14:solidFill>
              <w14:schemeClr w14:val="tx1"/>
            </w14:solidFill>
          </w14:textFill>
        </w:rPr>
        <w:t>相对标高</w:t>
      </w:r>
      <w:r>
        <w:rPr>
          <w:rFonts w:hint="eastAsia" w:ascii="仿宋" w:hAnsi="仿宋" w:eastAsia="仿宋"/>
          <w:caps/>
          <w:color w:val="000000" w:themeColor="text1"/>
          <w:kern w:val="0"/>
          <w:sz w:val="32"/>
          <w:szCs w:val="32"/>
          <w14:textFill>
            <w14:solidFill>
              <w14:schemeClr w14:val="tx1"/>
            </w14:solidFill>
          </w14:textFill>
        </w:rPr>
        <w:t>范围。</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第十</w:t>
      </w:r>
      <w:r>
        <w:rPr>
          <w:rFonts w:ascii="仿宋" w:hAnsi="仿宋" w:eastAsia="黑体"/>
          <w:caps/>
          <w:color w:val="000000" w:themeColor="text1"/>
          <w:kern w:val="0"/>
          <w:sz w:val="32"/>
          <w:szCs w:val="32"/>
          <w14:textFill>
            <w14:solidFill>
              <w14:schemeClr w14:val="tx1"/>
            </w14:solidFill>
          </w14:textFill>
        </w:rPr>
        <w:t>八</w:t>
      </w:r>
      <w:r>
        <w:rPr>
          <w:rFonts w:hint="eastAsia" w:ascii="仿宋" w:hAnsi="仿宋" w:eastAsia="黑体"/>
          <w:caps/>
          <w:color w:val="000000" w:themeColor="text1"/>
          <w:kern w:val="0"/>
          <w:sz w:val="32"/>
          <w:szCs w:val="32"/>
          <w14:textFill>
            <w14:solidFill>
              <w14:schemeClr w14:val="tx1"/>
            </w14:solidFill>
          </w14:textFill>
        </w:rPr>
        <w:t xml:space="preserve">条【注记】 </w:t>
      </w:r>
      <w:r>
        <w:rPr>
          <w:rFonts w:hint="eastAsia" w:ascii="仿宋" w:hAnsi="仿宋" w:eastAsia="仿宋"/>
          <w:caps/>
          <w:color w:val="000000" w:themeColor="text1"/>
          <w:kern w:val="0"/>
          <w:sz w:val="32"/>
          <w:szCs w:val="32"/>
          <w14:textFill>
            <w14:solidFill>
              <w14:schemeClr w14:val="tx1"/>
            </w14:solidFill>
          </w14:textFill>
        </w:rPr>
        <w:t>地下空间、地上空间不动产权登记时应当在登记簿及权利证书中注明“地下空间”、“地上空间”，并按规划要求注明规划用途。</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第十</w:t>
      </w:r>
      <w:r>
        <w:rPr>
          <w:rFonts w:ascii="仿宋" w:hAnsi="仿宋" w:eastAsia="黑体"/>
          <w:caps/>
          <w:color w:val="000000" w:themeColor="text1"/>
          <w:kern w:val="0"/>
          <w:sz w:val="32"/>
          <w:szCs w:val="32"/>
          <w14:textFill>
            <w14:solidFill>
              <w14:schemeClr w14:val="tx1"/>
            </w14:solidFill>
          </w14:textFill>
        </w:rPr>
        <w:t>九</w:t>
      </w:r>
      <w:r>
        <w:rPr>
          <w:rFonts w:hint="eastAsia" w:ascii="仿宋" w:hAnsi="仿宋" w:eastAsia="黑体"/>
          <w:caps/>
          <w:color w:val="000000" w:themeColor="text1"/>
          <w:kern w:val="0"/>
          <w:sz w:val="32"/>
          <w:szCs w:val="32"/>
          <w14:textFill>
            <w14:solidFill>
              <w14:schemeClr w14:val="tx1"/>
            </w14:solidFill>
          </w14:textFill>
        </w:rPr>
        <w:t xml:space="preserve">条【登记规则调整】 </w:t>
      </w:r>
      <w:r>
        <w:rPr>
          <w:rFonts w:hint="eastAsia" w:ascii="仿宋" w:hAnsi="仿宋" w:eastAsia="仿宋"/>
          <w:caps/>
          <w:color w:val="000000" w:themeColor="text1"/>
          <w:kern w:val="0"/>
          <w:sz w:val="32"/>
          <w:szCs w:val="32"/>
          <w14:textFill>
            <w14:solidFill>
              <w14:schemeClr w14:val="tx1"/>
            </w14:solidFill>
          </w14:textFill>
        </w:rPr>
        <w:t>北京市届时出台关于地下空间和地上空间国有建设用地使用权及建（构）筑物的不动产权登记规则后，按北京市届时相关规定执行和办理。</w:t>
      </w:r>
    </w:p>
    <w:p>
      <w:pPr>
        <w:adjustRightInd w:val="0"/>
        <w:snapToGrid w:val="0"/>
        <w:spacing w:line="560" w:lineRule="exact"/>
        <w:jc w:val="center"/>
        <w:outlineLvl w:val="0"/>
        <w:rPr>
          <w:rFonts w:ascii="黑体" w:hAnsi="黑体" w:eastAsia="黑体"/>
          <w:bCs/>
          <w:caps/>
          <w:kern w:val="0"/>
          <w:sz w:val="32"/>
          <w:szCs w:val="32"/>
        </w:rPr>
      </w:pPr>
      <w:r>
        <w:rPr>
          <w:rFonts w:hint="eastAsia" w:ascii="黑体" w:hAnsi="黑体" w:eastAsia="黑体"/>
          <w:bCs/>
          <w:caps/>
          <w:kern w:val="0"/>
          <w:sz w:val="32"/>
          <w:szCs w:val="32"/>
        </w:rPr>
        <w:t>第</w:t>
      </w:r>
      <w:r>
        <w:rPr>
          <w:rFonts w:ascii="黑体" w:hAnsi="黑体" w:eastAsia="黑体"/>
          <w:bCs/>
          <w:caps/>
          <w:kern w:val="0"/>
          <w:sz w:val="32"/>
          <w:szCs w:val="32"/>
        </w:rPr>
        <w:t>六</w:t>
      </w:r>
      <w:r>
        <w:rPr>
          <w:rFonts w:hint="eastAsia" w:ascii="黑体" w:hAnsi="黑体" w:eastAsia="黑体"/>
          <w:bCs/>
          <w:caps/>
          <w:kern w:val="0"/>
          <w:sz w:val="32"/>
          <w:szCs w:val="32"/>
        </w:rPr>
        <w:t>章 附则</w:t>
      </w:r>
    </w:p>
    <w:p>
      <w:pPr>
        <w:adjustRightInd w:val="0"/>
        <w:snapToGrid w:val="0"/>
        <w:spacing w:line="560" w:lineRule="exact"/>
        <w:ind w:firstLine="640" w:firstLineChars="200"/>
        <w:outlineLvl w:val="1"/>
        <w:rPr>
          <w:rFonts w:ascii="仿宋" w:hAnsi="仿宋" w:eastAsia="仿宋"/>
          <w:caps/>
          <w:color w:val="000000" w:themeColor="text1"/>
          <w:kern w:val="0"/>
          <w:sz w:val="32"/>
          <w:szCs w:val="32"/>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第</w:t>
      </w:r>
      <w:r>
        <w:rPr>
          <w:rFonts w:ascii="仿宋" w:hAnsi="仿宋" w:eastAsia="黑体"/>
          <w:caps/>
          <w:color w:val="000000" w:themeColor="text1"/>
          <w:kern w:val="0"/>
          <w:sz w:val="32"/>
          <w:szCs w:val="32"/>
          <w14:textFill>
            <w14:solidFill>
              <w14:schemeClr w14:val="tx1"/>
            </w14:solidFill>
          </w14:textFill>
        </w:rPr>
        <w:t>二十</w:t>
      </w:r>
      <w:r>
        <w:rPr>
          <w:rFonts w:hint="eastAsia" w:ascii="仿宋" w:hAnsi="仿宋" w:eastAsia="黑体"/>
          <w:caps/>
          <w:color w:val="000000" w:themeColor="text1"/>
          <w:kern w:val="0"/>
          <w:sz w:val="32"/>
          <w:szCs w:val="32"/>
          <w14:textFill>
            <w14:solidFill>
              <w14:schemeClr w14:val="tx1"/>
            </w14:solidFill>
          </w14:textFill>
        </w:rPr>
        <w:t>条</w:t>
      </w:r>
      <w:r>
        <w:rPr>
          <w:rFonts w:ascii="仿宋" w:hAnsi="仿宋" w:eastAsia="黑体"/>
          <w:caps/>
          <w:color w:val="000000" w:themeColor="text1"/>
          <w:kern w:val="0"/>
          <w:sz w:val="32"/>
          <w:szCs w:val="32"/>
          <w14:textFill>
            <w14:solidFill>
              <w14:schemeClr w14:val="tx1"/>
            </w14:solidFill>
          </w14:textFill>
        </w:rPr>
        <w:t>【</w:t>
      </w:r>
      <w:r>
        <w:rPr>
          <w:rFonts w:hint="eastAsia" w:ascii="仿宋" w:hAnsi="仿宋" w:eastAsia="黑体"/>
          <w:caps/>
          <w:color w:val="000000" w:themeColor="text1"/>
          <w:kern w:val="0"/>
          <w:sz w:val="32"/>
          <w:szCs w:val="32"/>
          <w14:textFill>
            <w14:solidFill>
              <w14:schemeClr w14:val="tx1"/>
            </w14:solidFill>
          </w14:textFill>
        </w:rPr>
        <w:t>解释】</w:t>
      </w:r>
      <w:r>
        <w:rPr>
          <w:rFonts w:hint="eastAsia" w:ascii="仿宋" w:hAnsi="仿宋" w:eastAsia="仿宋"/>
          <w:caps/>
          <w:color w:val="000000" w:themeColor="text1"/>
          <w:kern w:val="0"/>
          <w:sz w:val="32"/>
          <w:szCs w:val="32"/>
          <w14:textFill>
            <w14:solidFill>
              <w14:schemeClr w14:val="tx1"/>
            </w14:solidFill>
          </w14:textFill>
        </w:rPr>
        <w:t xml:space="preserve"> 本办法由经开区管委会负责解释。</w:t>
      </w:r>
    </w:p>
    <w:p>
      <w:pPr>
        <w:adjustRightInd w:val="0"/>
        <w:snapToGrid w:val="0"/>
        <w:spacing w:line="560" w:lineRule="exact"/>
        <w:ind w:firstLine="640" w:firstLineChars="200"/>
        <w:outlineLvl w:val="1"/>
        <w:rPr>
          <w:rFonts w:ascii="仿宋" w:hAnsi="仿宋" w:eastAsia="仿宋"/>
          <w:color w:val="000000" w:themeColor="text1"/>
          <w:kern w:val="0"/>
          <w:sz w:val="32"/>
          <w:szCs w:val="21"/>
          <w14:textFill>
            <w14:solidFill>
              <w14:schemeClr w14:val="tx1"/>
            </w14:solidFill>
          </w14:textFill>
        </w:rPr>
      </w:pPr>
      <w:r>
        <w:rPr>
          <w:rFonts w:hint="eastAsia" w:ascii="仿宋" w:hAnsi="仿宋" w:eastAsia="黑体"/>
          <w:caps/>
          <w:color w:val="000000" w:themeColor="text1"/>
          <w:kern w:val="0"/>
          <w:sz w:val="32"/>
          <w:szCs w:val="32"/>
          <w14:textFill>
            <w14:solidFill>
              <w14:schemeClr w14:val="tx1"/>
            </w14:solidFill>
          </w14:textFill>
        </w:rPr>
        <w:t xml:space="preserve">第二十一条【施行】 </w:t>
      </w:r>
      <w:r>
        <w:rPr>
          <w:rFonts w:hint="eastAsia" w:ascii="仿宋" w:hAnsi="仿宋" w:eastAsia="仿宋"/>
          <w:caps/>
          <w:color w:val="000000" w:themeColor="text1"/>
          <w:kern w:val="0"/>
          <w:sz w:val="32"/>
          <w:szCs w:val="32"/>
          <w14:textFill>
            <w14:solidFill>
              <w14:schemeClr w14:val="tx1"/>
            </w14:solidFill>
          </w14:textFill>
        </w:rPr>
        <w:t>本办法自印发之日起</w:t>
      </w:r>
      <w:r>
        <w:rPr>
          <w:rFonts w:ascii="仿宋" w:hAnsi="仿宋" w:eastAsia="仿宋"/>
          <w:caps/>
          <w:color w:val="000000" w:themeColor="text1"/>
          <w:kern w:val="0"/>
          <w:sz w:val="32"/>
          <w:szCs w:val="32"/>
          <w14:textFill>
            <w14:solidFill>
              <w14:schemeClr w14:val="tx1"/>
            </w14:solidFill>
          </w14:textFill>
        </w:rPr>
        <w:t>试</w:t>
      </w:r>
      <w:r>
        <w:rPr>
          <w:rFonts w:hint="eastAsia" w:ascii="仿宋" w:hAnsi="仿宋" w:eastAsia="仿宋"/>
          <w:caps/>
          <w:color w:val="000000" w:themeColor="text1"/>
          <w:kern w:val="0"/>
          <w:sz w:val="32"/>
          <w:szCs w:val="32"/>
          <w14:textFill>
            <w14:solidFill>
              <w14:schemeClr w14:val="tx1"/>
            </w14:solidFill>
          </w14:textFill>
        </w:rPr>
        <w:t>行，</w:t>
      </w:r>
      <w:r>
        <w:rPr>
          <w:rFonts w:ascii="仿宋" w:hAnsi="仿宋" w:eastAsia="仿宋"/>
          <w:caps/>
          <w:color w:val="000000" w:themeColor="text1"/>
          <w:kern w:val="0"/>
          <w:sz w:val="32"/>
          <w:szCs w:val="32"/>
          <w14:textFill>
            <w14:solidFill>
              <w14:schemeClr w14:val="tx1"/>
            </w14:solidFill>
          </w14:textFill>
        </w:rPr>
        <w:t>试行期</w:t>
      </w:r>
      <w:r>
        <w:rPr>
          <w:rFonts w:hint="eastAsia" w:ascii="仿宋" w:hAnsi="仿宋" w:eastAsia="仿宋"/>
          <w:caps/>
          <w:color w:val="000000" w:themeColor="text1"/>
          <w:kern w:val="0"/>
          <w:sz w:val="32"/>
          <w:szCs w:val="32"/>
          <w14:textFill>
            <w14:solidFill>
              <w14:schemeClr w14:val="tx1"/>
            </w14:solidFill>
          </w14:textFill>
        </w:rPr>
        <w:t>两年。试行期限届满后根据实施情况，适时修订。</w:t>
      </w:r>
    </w:p>
    <w:sectPr>
      <w:footerReference r:id="rId3" w:type="default"/>
      <w:pgSz w:w="11906" w:h="16838"/>
      <w:pgMar w:top="1985" w:right="1474" w:bottom="1701"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方正仿宋_GBK"/>
    <w:panose1 w:val="02010609060101010101"/>
    <w:charset w:val="86"/>
    <w:family w:val="modern"/>
    <w:pitch w:val="default"/>
    <w:sig w:usb0="00000000" w:usb1="00000000" w:usb2="00000016" w:usb3="00000000" w:csb0="00040001" w:csb1="00000000"/>
  </w:font>
  <w:font w:name="方正小标宋_GBK">
    <w:panose1 w:val="02000000000000000000"/>
    <w:charset w:val="86"/>
    <w:family w:val="script"/>
    <w:pitch w:val="default"/>
    <w:sig w:usb0="00000001" w:usb1="08000000" w:usb2="00000000" w:usb3="00000000" w:csb0="00040000" w:csb1="00000000"/>
  </w:font>
  <w:font w:name="Arial">
    <w:altName w:val="DejaVu Sans"/>
    <w:panose1 w:val="020B0604020202020204"/>
    <w:charset w:val="00"/>
    <w:family w:val="swiss"/>
    <w:pitch w:val="default"/>
    <w:sig w:usb0="00000000" w:usb1="00000000" w:usb2="00000009" w:usb3="00000000" w:csb0="000001FF"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oto Sans CJK JP Bold">
    <w:panose1 w:val="020B0800000000000000"/>
    <w:charset w:val="86"/>
    <w:family w:val="auto"/>
    <w:pitch w:val="default"/>
    <w:sig w:usb0="30000003" w:usb1="2BDF3C10" w:usb2="00000016" w:usb3="00000000" w:csb0="602E0107"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64162766"/>
      <w:docPartObj>
        <w:docPartGallery w:val="AutoText"/>
      </w:docPartObj>
    </w:sdtPr>
    <w:sdtEndPr>
      <w:rPr>
        <w:rFonts w:ascii="宋体" w:hAnsi="宋体" w:eastAsia="宋体"/>
        <w:sz w:val="24"/>
        <w:szCs w:val="24"/>
      </w:rPr>
    </w:sdtEndPr>
    <w:sdtContent>
      <w:p>
        <w:pPr>
          <w:pStyle w:val="3"/>
          <w:jc w:val="center"/>
          <w:rPr>
            <w:rFonts w:ascii="宋体" w:hAnsi="宋体" w:eastAsia="宋体"/>
            <w:sz w:val="24"/>
            <w:szCs w:val="24"/>
          </w:rPr>
        </w:pPr>
        <w:r>
          <w:rPr>
            <w:rFonts w:ascii="宋体" w:hAnsi="宋体" w:eastAsia="宋体"/>
            <w:sz w:val="24"/>
            <w:szCs w:val="24"/>
          </w:rPr>
          <w:fldChar w:fldCharType="begin"/>
        </w:r>
        <w:r>
          <w:rPr>
            <w:rFonts w:ascii="宋体" w:hAnsi="宋体" w:eastAsia="宋体"/>
            <w:sz w:val="24"/>
            <w:szCs w:val="24"/>
          </w:rPr>
          <w:instrText xml:space="preserve">PAGE   \* MERGEFORMAT</w:instrText>
        </w:r>
        <w:r>
          <w:rPr>
            <w:rFonts w:ascii="宋体" w:hAnsi="宋体" w:eastAsia="宋体"/>
            <w:sz w:val="24"/>
            <w:szCs w:val="24"/>
          </w:rPr>
          <w:fldChar w:fldCharType="separate"/>
        </w:r>
        <w:r>
          <w:rPr>
            <w:rFonts w:ascii="宋体" w:hAnsi="宋体" w:eastAsia="宋体"/>
            <w:sz w:val="24"/>
            <w:szCs w:val="24"/>
            <w:lang w:val="zh-CN"/>
          </w:rPr>
          <w:t>8</w:t>
        </w:r>
        <w:r>
          <w:rPr>
            <w:rFonts w:ascii="宋体" w:hAnsi="宋体" w:eastAsia="宋体"/>
            <w:sz w:val="24"/>
            <w:szCs w:val="24"/>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54D5"/>
    <w:rsid w:val="00000E5D"/>
    <w:rsid w:val="0000501B"/>
    <w:rsid w:val="00010781"/>
    <w:rsid w:val="000136AC"/>
    <w:rsid w:val="00017AF2"/>
    <w:rsid w:val="0002353E"/>
    <w:rsid w:val="00024603"/>
    <w:rsid w:val="00035550"/>
    <w:rsid w:val="00062FAA"/>
    <w:rsid w:val="00095639"/>
    <w:rsid w:val="000A3CA8"/>
    <w:rsid w:val="000B72EF"/>
    <w:rsid w:val="000C76ED"/>
    <w:rsid w:val="000D5225"/>
    <w:rsid w:val="000D54D5"/>
    <w:rsid w:val="000D5F2A"/>
    <w:rsid w:val="000E7223"/>
    <w:rsid w:val="000F26A4"/>
    <w:rsid w:val="000F2F04"/>
    <w:rsid w:val="000F7703"/>
    <w:rsid w:val="00103F95"/>
    <w:rsid w:val="001040B4"/>
    <w:rsid w:val="00111F42"/>
    <w:rsid w:val="00124AF3"/>
    <w:rsid w:val="001338A4"/>
    <w:rsid w:val="00155B6F"/>
    <w:rsid w:val="001816F0"/>
    <w:rsid w:val="00185A7B"/>
    <w:rsid w:val="001A53E0"/>
    <w:rsid w:val="001C3426"/>
    <w:rsid w:val="001C3BC8"/>
    <w:rsid w:val="001C6631"/>
    <w:rsid w:val="001D296E"/>
    <w:rsid w:val="001D7011"/>
    <w:rsid w:val="001D76F0"/>
    <w:rsid w:val="001E596B"/>
    <w:rsid w:val="001F6DE6"/>
    <w:rsid w:val="00213263"/>
    <w:rsid w:val="002145F0"/>
    <w:rsid w:val="00227C9D"/>
    <w:rsid w:val="002457A8"/>
    <w:rsid w:val="002464EA"/>
    <w:rsid w:val="002476A5"/>
    <w:rsid w:val="0025386F"/>
    <w:rsid w:val="00261F31"/>
    <w:rsid w:val="00263E44"/>
    <w:rsid w:val="0028017F"/>
    <w:rsid w:val="002810A8"/>
    <w:rsid w:val="00285D89"/>
    <w:rsid w:val="002A146B"/>
    <w:rsid w:val="002B1E7E"/>
    <w:rsid w:val="002B3673"/>
    <w:rsid w:val="002B36BE"/>
    <w:rsid w:val="002B657B"/>
    <w:rsid w:val="002B7177"/>
    <w:rsid w:val="002C0DDD"/>
    <w:rsid w:val="002C11C2"/>
    <w:rsid w:val="002C2A24"/>
    <w:rsid w:val="002C3970"/>
    <w:rsid w:val="002C7153"/>
    <w:rsid w:val="002C7273"/>
    <w:rsid w:val="002C774A"/>
    <w:rsid w:val="002F057D"/>
    <w:rsid w:val="002F4002"/>
    <w:rsid w:val="00303460"/>
    <w:rsid w:val="00304546"/>
    <w:rsid w:val="00304D45"/>
    <w:rsid w:val="00304FE4"/>
    <w:rsid w:val="0031357C"/>
    <w:rsid w:val="00314A36"/>
    <w:rsid w:val="003350F9"/>
    <w:rsid w:val="00340964"/>
    <w:rsid w:val="00342FBA"/>
    <w:rsid w:val="00344ADA"/>
    <w:rsid w:val="00350864"/>
    <w:rsid w:val="0037516C"/>
    <w:rsid w:val="00375CD5"/>
    <w:rsid w:val="00396D53"/>
    <w:rsid w:val="003B4CBD"/>
    <w:rsid w:val="003C0DF1"/>
    <w:rsid w:val="003C1749"/>
    <w:rsid w:val="003D06CC"/>
    <w:rsid w:val="003D601F"/>
    <w:rsid w:val="0040148E"/>
    <w:rsid w:val="00407E45"/>
    <w:rsid w:val="00426FAF"/>
    <w:rsid w:val="00444AAB"/>
    <w:rsid w:val="00453922"/>
    <w:rsid w:val="004610A6"/>
    <w:rsid w:val="00471D65"/>
    <w:rsid w:val="004761FA"/>
    <w:rsid w:val="00486976"/>
    <w:rsid w:val="004A0CD7"/>
    <w:rsid w:val="004A3EED"/>
    <w:rsid w:val="004B1886"/>
    <w:rsid w:val="004B2CEE"/>
    <w:rsid w:val="004B3B2C"/>
    <w:rsid w:val="004B5105"/>
    <w:rsid w:val="004B5E48"/>
    <w:rsid w:val="004C478B"/>
    <w:rsid w:val="004D007C"/>
    <w:rsid w:val="004E5AB9"/>
    <w:rsid w:val="0051367D"/>
    <w:rsid w:val="00532227"/>
    <w:rsid w:val="005374A0"/>
    <w:rsid w:val="00542CF3"/>
    <w:rsid w:val="00544BA1"/>
    <w:rsid w:val="00544C79"/>
    <w:rsid w:val="0055079A"/>
    <w:rsid w:val="005775A7"/>
    <w:rsid w:val="005805FF"/>
    <w:rsid w:val="00585797"/>
    <w:rsid w:val="00595983"/>
    <w:rsid w:val="005E66F0"/>
    <w:rsid w:val="005F034B"/>
    <w:rsid w:val="005F407C"/>
    <w:rsid w:val="005F6088"/>
    <w:rsid w:val="0060684D"/>
    <w:rsid w:val="006070E5"/>
    <w:rsid w:val="006213F7"/>
    <w:rsid w:val="0064544E"/>
    <w:rsid w:val="006465D1"/>
    <w:rsid w:val="00653252"/>
    <w:rsid w:val="00654856"/>
    <w:rsid w:val="00662CCA"/>
    <w:rsid w:val="00665029"/>
    <w:rsid w:val="00665FFE"/>
    <w:rsid w:val="00674C7B"/>
    <w:rsid w:val="00683510"/>
    <w:rsid w:val="0068492E"/>
    <w:rsid w:val="0069263A"/>
    <w:rsid w:val="00696169"/>
    <w:rsid w:val="006B09D0"/>
    <w:rsid w:val="006B4679"/>
    <w:rsid w:val="006E33CF"/>
    <w:rsid w:val="006E5DC2"/>
    <w:rsid w:val="00711DFE"/>
    <w:rsid w:val="0071361E"/>
    <w:rsid w:val="00720941"/>
    <w:rsid w:val="0072359A"/>
    <w:rsid w:val="007252E8"/>
    <w:rsid w:val="0073260B"/>
    <w:rsid w:val="00750E7B"/>
    <w:rsid w:val="00766883"/>
    <w:rsid w:val="00766DFA"/>
    <w:rsid w:val="0078150F"/>
    <w:rsid w:val="0079386A"/>
    <w:rsid w:val="00794372"/>
    <w:rsid w:val="007944D5"/>
    <w:rsid w:val="007B17DE"/>
    <w:rsid w:val="007B3514"/>
    <w:rsid w:val="007B7531"/>
    <w:rsid w:val="007C19A8"/>
    <w:rsid w:val="007C5C85"/>
    <w:rsid w:val="007D22F9"/>
    <w:rsid w:val="007D648F"/>
    <w:rsid w:val="007F20F8"/>
    <w:rsid w:val="007F26DC"/>
    <w:rsid w:val="008047ED"/>
    <w:rsid w:val="008140E1"/>
    <w:rsid w:val="00821007"/>
    <w:rsid w:val="008428B9"/>
    <w:rsid w:val="00847854"/>
    <w:rsid w:val="0085446B"/>
    <w:rsid w:val="00856BBF"/>
    <w:rsid w:val="0085754D"/>
    <w:rsid w:val="008659C3"/>
    <w:rsid w:val="0087693F"/>
    <w:rsid w:val="00883BFC"/>
    <w:rsid w:val="00887AB2"/>
    <w:rsid w:val="008916BA"/>
    <w:rsid w:val="00894750"/>
    <w:rsid w:val="008D5C65"/>
    <w:rsid w:val="008D5D79"/>
    <w:rsid w:val="00902A75"/>
    <w:rsid w:val="00903312"/>
    <w:rsid w:val="00907376"/>
    <w:rsid w:val="00925FF8"/>
    <w:rsid w:val="00926984"/>
    <w:rsid w:val="00930B2C"/>
    <w:rsid w:val="009420EB"/>
    <w:rsid w:val="00954758"/>
    <w:rsid w:val="00985212"/>
    <w:rsid w:val="009A1191"/>
    <w:rsid w:val="009A3109"/>
    <w:rsid w:val="009A5C11"/>
    <w:rsid w:val="009B7480"/>
    <w:rsid w:val="009E6C5C"/>
    <w:rsid w:val="009E6F26"/>
    <w:rsid w:val="009F0D41"/>
    <w:rsid w:val="009F10A9"/>
    <w:rsid w:val="00A109F0"/>
    <w:rsid w:val="00A154A1"/>
    <w:rsid w:val="00A159EB"/>
    <w:rsid w:val="00A21194"/>
    <w:rsid w:val="00A40FD2"/>
    <w:rsid w:val="00A452BD"/>
    <w:rsid w:val="00A630A1"/>
    <w:rsid w:val="00A75229"/>
    <w:rsid w:val="00A76818"/>
    <w:rsid w:val="00A81FF8"/>
    <w:rsid w:val="00A9696A"/>
    <w:rsid w:val="00AA136F"/>
    <w:rsid w:val="00AB1683"/>
    <w:rsid w:val="00AB7985"/>
    <w:rsid w:val="00AC28C8"/>
    <w:rsid w:val="00AC7AB6"/>
    <w:rsid w:val="00AE64D4"/>
    <w:rsid w:val="00B121EF"/>
    <w:rsid w:val="00B12ADB"/>
    <w:rsid w:val="00B21A1E"/>
    <w:rsid w:val="00B27901"/>
    <w:rsid w:val="00B33D58"/>
    <w:rsid w:val="00B344BB"/>
    <w:rsid w:val="00B34D24"/>
    <w:rsid w:val="00B50328"/>
    <w:rsid w:val="00B51015"/>
    <w:rsid w:val="00B573B4"/>
    <w:rsid w:val="00B667BC"/>
    <w:rsid w:val="00B800D2"/>
    <w:rsid w:val="00B8469C"/>
    <w:rsid w:val="00B90537"/>
    <w:rsid w:val="00B93C4A"/>
    <w:rsid w:val="00B97D06"/>
    <w:rsid w:val="00BA5F05"/>
    <w:rsid w:val="00BB2BD7"/>
    <w:rsid w:val="00BD5D6A"/>
    <w:rsid w:val="00BE3990"/>
    <w:rsid w:val="00BE443A"/>
    <w:rsid w:val="00BE52EB"/>
    <w:rsid w:val="00BE5A43"/>
    <w:rsid w:val="00BF1894"/>
    <w:rsid w:val="00BF75BF"/>
    <w:rsid w:val="00C00193"/>
    <w:rsid w:val="00C2780F"/>
    <w:rsid w:val="00C3752A"/>
    <w:rsid w:val="00C47365"/>
    <w:rsid w:val="00C95BB4"/>
    <w:rsid w:val="00C96966"/>
    <w:rsid w:val="00C977C6"/>
    <w:rsid w:val="00CA08A3"/>
    <w:rsid w:val="00CA32DB"/>
    <w:rsid w:val="00CA791F"/>
    <w:rsid w:val="00CB6D0B"/>
    <w:rsid w:val="00CC3F44"/>
    <w:rsid w:val="00CD49B3"/>
    <w:rsid w:val="00CE65A3"/>
    <w:rsid w:val="00CF26E6"/>
    <w:rsid w:val="00D32ED2"/>
    <w:rsid w:val="00D37279"/>
    <w:rsid w:val="00D40AA7"/>
    <w:rsid w:val="00D45776"/>
    <w:rsid w:val="00D55D89"/>
    <w:rsid w:val="00D621F8"/>
    <w:rsid w:val="00D7033C"/>
    <w:rsid w:val="00D859AF"/>
    <w:rsid w:val="00D91B39"/>
    <w:rsid w:val="00DA0002"/>
    <w:rsid w:val="00DA3933"/>
    <w:rsid w:val="00DC40CA"/>
    <w:rsid w:val="00DD3A92"/>
    <w:rsid w:val="00E00E99"/>
    <w:rsid w:val="00E3165C"/>
    <w:rsid w:val="00E329B2"/>
    <w:rsid w:val="00E55EF2"/>
    <w:rsid w:val="00E61806"/>
    <w:rsid w:val="00E65B58"/>
    <w:rsid w:val="00E73B69"/>
    <w:rsid w:val="00E76A5F"/>
    <w:rsid w:val="00E86656"/>
    <w:rsid w:val="00E86CB3"/>
    <w:rsid w:val="00EA31CB"/>
    <w:rsid w:val="00EC038D"/>
    <w:rsid w:val="00F014E4"/>
    <w:rsid w:val="00F30F1B"/>
    <w:rsid w:val="00F31C22"/>
    <w:rsid w:val="00F47211"/>
    <w:rsid w:val="00F6159E"/>
    <w:rsid w:val="00F747DC"/>
    <w:rsid w:val="00F81A98"/>
    <w:rsid w:val="00F8323C"/>
    <w:rsid w:val="00F9098E"/>
    <w:rsid w:val="00FA1051"/>
    <w:rsid w:val="00FB3513"/>
    <w:rsid w:val="00FC4277"/>
    <w:rsid w:val="00FD1B3D"/>
    <w:rsid w:val="00FD48C5"/>
    <w:rsid w:val="DE75F3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8">
    <w:name w:val="List Paragraph"/>
    <w:basedOn w:val="1"/>
    <w:qFormat/>
    <w:uiPriority w:val="34"/>
    <w:pPr>
      <w:ind w:firstLine="420" w:firstLineChars="200"/>
    </w:pPr>
  </w:style>
  <w:style w:type="character" w:customStyle="1" w:styleId="9">
    <w:name w:val="页眉 Char"/>
    <w:basedOn w:val="7"/>
    <w:link w:val="4"/>
    <w:uiPriority w:val="99"/>
    <w:rPr>
      <w:sz w:val="18"/>
      <w:szCs w:val="18"/>
    </w:rPr>
  </w:style>
  <w:style w:type="character" w:customStyle="1" w:styleId="10">
    <w:name w:val="页脚 Char"/>
    <w:basedOn w:val="7"/>
    <w:link w:val="3"/>
    <w:uiPriority w:val="99"/>
    <w:rPr>
      <w:sz w:val="18"/>
      <w:szCs w:val="18"/>
    </w:rPr>
  </w:style>
  <w:style w:type="character" w:customStyle="1" w:styleId="11">
    <w:name w:val="批注框文本 Char"/>
    <w:basedOn w:val="7"/>
    <w:link w:val="2"/>
    <w:semiHidden/>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646</Words>
  <Characters>3688</Characters>
  <Lines>30</Lines>
  <Paragraphs>8</Paragraphs>
  <TotalTime>1013</TotalTime>
  <ScaleCrop>false</ScaleCrop>
  <LinksUpToDate>false</LinksUpToDate>
  <CharactersWithSpaces>4326</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2021-01-26T13:31:00Z</dcterms:created>
  <dc:creator>DDLL</dc:creator>
  <cp:lastModifiedBy>BDA</cp:lastModifiedBy>
  <dcterms:modified xsi:type="dcterms:W3CDTF">2021-07-27T10:03:56Z</dcterms:modified>
  <cp:revision>231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