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05FC" w:rsidRDefault="0066072C" w:rsidP="00C705FC">
      <w:pPr>
        <w:widowControl/>
        <w:spacing w:line="640" w:lineRule="exact"/>
        <w:jc w:val="center"/>
        <w:rPr>
          <w:rFonts w:ascii="方正小标宋简体" w:eastAsia="方正小标宋简体" w:hAnsi="宋体" w:cs="宋体"/>
          <w:bCs/>
          <w:color w:val="000000"/>
          <w:kern w:val="0"/>
          <w:sz w:val="44"/>
          <w:szCs w:val="44"/>
        </w:rPr>
      </w:pPr>
      <w:r w:rsidRPr="00B63643">
        <w:rPr>
          <w:rFonts w:ascii="方正小标宋简体" w:eastAsia="方正小标宋简体" w:hAnsi="宋体" w:cs="宋体" w:hint="eastAsia"/>
          <w:bCs/>
          <w:color w:val="000000"/>
          <w:kern w:val="0"/>
          <w:sz w:val="44"/>
          <w:szCs w:val="44"/>
        </w:rPr>
        <w:t>北京经济技术开发区</w:t>
      </w:r>
    </w:p>
    <w:p w:rsidR="00C705FC" w:rsidRDefault="003F256B" w:rsidP="00C705FC">
      <w:pPr>
        <w:widowControl/>
        <w:spacing w:line="640" w:lineRule="exact"/>
        <w:jc w:val="center"/>
        <w:rPr>
          <w:rFonts w:ascii="方正小标宋简体" w:eastAsia="方正小标宋简体" w:hAnsi="宋体" w:cs="宋体"/>
          <w:bCs/>
          <w:color w:val="000000"/>
          <w:kern w:val="0"/>
          <w:sz w:val="44"/>
          <w:szCs w:val="44"/>
        </w:rPr>
      </w:pPr>
      <w:r>
        <w:rPr>
          <w:rFonts w:ascii="方正小标宋简体" w:eastAsia="方正小标宋简体" w:hAnsi="宋体" w:cs="宋体" w:hint="eastAsia"/>
          <w:bCs/>
          <w:color w:val="000000"/>
          <w:kern w:val="0"/>
          <w:sz w:val="44"/>
          <w:szCs w:val="44"/>
        </w:rPr>
        <w:t>产业</w:t>
      </w:r>
      <w:r w:rsidR="0066072C" w:rsidRPr="00B63643">
        <w:rPr>
          <w:rFonts w:ascii="方正小标宋简体" w:eastAsia="方正小标宋简体" w:hAnsi="宋体" w:cs="宋体" w:hint="eastAsia"/>
          <w:bCs/>
          <w:color w:val="000000"/>
          <w:kern w:val="0"/>
          <w:sz w:val="44"/>
          <w:szCs w:val="44"/>
        </w:rPr>
        <w:t>用地</w:t>
      </w:r>
      <w:r w:rsidRPr="00B63643">
        <w:rPr>
          <w:rFonts w:ascii="方正小标宋简体" w:eastAsia="方正小标宋简体" w:hAnsi="宋体" w:cs="宋体" w:hint="eastAsia"/>
          <w:bCs/>
          <w:color w:val="000000"/>
          <w:kern w:val="0"/>
          <w:sz w:val="44"/>
          <w:szCs w:val="44"/>
        </w:rPr>
        <w:t>标准化</w:t>
      </w:r>
      <w:r>
        <w:rPr>
          <w:rFonts w:ascii="方正小标宋简体" w:eastAsia="方正小标宋简体" w:hAnsi="宋体" w:cs="宋体" w:hint="eastAsia"/>
          <w:bCs/>
          <w:color w:val="000000"/>
          <w:kern w:val="0"/>
          <w:sz w:val="44"/>
          <w:szCs w:val="44"/>
        </w:rPr>
        <w:t>管理</w:t>
      </w:r>
      <w:r w:rsidRPr="00B63643">
        <w:rPr>
          <w:rFonts w:ascii="方正小标宋简体" w:eastAsia="方正小标宋简体" w:hAnsi="宋体" w:cs="宋体" w:hint="eastAsia"/>
          <w:bCs/>
          <w:color w:val="000000"/>
          <w:kern w:val="0"/>
          <w:sz w:val="44"/>
          <w:szCs w:val="44"/>
        </w:rPr>
        <w:t>暂行办法</w:t>
      </w:r>
      <w:r>
        <w:rPr>
          <w:rFonts w:ascii="方正小标宋简体" w:eastAsia="方正小标宋简体" w:hAnsi="宋体" w:cs="宋体" w:hint="eastAsia"/>
          <w:bCs/>
          <w:color w:val="000000"/>
          <w:kern w:val="0"/>
          <w:sz w:val="44"/>
          <w:szCs w:val="44"/>
        </w:rPr>
        <w:t>（试行）</w:t>
      </w:r>
    </w:p>
    <w:p w:rsidR="0066072C" w:rsidRPr="00B63643" w:rsidRDefault="0066072C" w:rsidP="0066072C">
      <w:pPr>
        <w:widowControl/>
        <w:spacing w:line="680" w:lineRule="exact"/>
        <w:ind w:firstLineChars="200" w:firstLine="640"/>
        <w:jc w:val="left"/>
        <w:rPr>
          <w:rFonts w:ascii="仿宋_GB2312" w:eastAsia="仿宋_GB2312" w:hAnsi="宋体" w:cs="宋体"/>
          <w:bCs/>
          <w:color w:val="000000"/>
          <w:kern w:val="0"/>
          <w:sz w:val="32"/>
          <w:szCs w:val="32"/>
        </w:rPr>
      </w:pPr>
    </w:p>
    <w:p w:rsidR="0066072C" w:rsidRPr="001D6A0F" w:rsidRDefault="001D6A0F" w:rsidP="001D6A0F">
      <w:pPr>
        <w:widowControl/>
        <w:spacing w:line="680" w:lineRule="exact"/>
        <w:jc w:val="center"/>
        <w:rPr>
          <w:rFonts w:ascii="黑体" w:eastAsia="黑体" w:hAnsi="黑体" w:hint="eastAsia"/>
          <w:color w:val="000000"/>
          <w:sz w:val="32"/>
          <w:szCs w:val="32"/>
        </w:rPr>
      </w:pPr>
      <w:r>
        <w:rPr>
          <w:rFonts w:ascii="黑体" w:eastAsia="黑体" w:hAnsi="黑体" w:hint="eastAsia"/>
          <w:color w:val="000000"/>
          <w:sz w:val="32"/>
          <w:szCs w:val="32"/>
        </w:rPr>
        <w:t xml:space="preserve">第一章  </w:t>
      </w:r>
      <w:r w:rsidR="0066072C" w:rsidRPr="001D6A0F">
        <w:rPr>
          <w:rFonts w:ascii="黑体" w:eastAsia="黑体" w:hAnsi="黑体" w:hint="eastAsia"/>
          <w:color w:val="000000"/>
          <w:sz w:val="32"/>
          <w:szCs w:val="32"/>
        </w:rPr>
        <w:t>总则</w:t>
      </w:r>
    </w:p>
    <w:p w:rsidR="001D6A0F" w:rsidRPr="00685EDD" w:rsidRDefault="001D6A0F" w:rsidP="001D6A0F">
      <w:pPr>
        <w:pStyle w:val="a3"/>
        <w:widowControl/>
        <w:spacing w:line="680" w:lineRule="exact"/>
        <w:ind w:left="4440" w:firstLineChars="0" w:firstLine="0"/>
        <w:rPr>
          <w:rFonts w:ascii="黑体" w:eastAsia="黑体" w:hAnsi="黑体"/>
          <w:color w:val="000000"/>
          <w:sz w:val="32"/>
          <w:szCs w:val="32"/>
        </w:rPr>
      </w:pPr>
    </w:p>
    <w:p w:rsidR="00044A7A" w:rsidRPr="00685EDD" w:rsidRDefault="0066072C" w:rsidP="00044A7A">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t>第一条（实施目的）</w:t>
      </w:r>
    </w:p>
    <w:p w:rsidR="00C705FC" w:rsidRDefault="0066072C" w:rsidP="00C705FC">
      <w:pPr>
        <w:widowControl/>
        <w:spacing w:line="560" w:lineRule="exact"/>
        <w:ind w:firstLineChars="200" w:firstLine="640"/>
        <w:rPr>
          <w:rFonts w:ascii="仿宋_GB2312" w:eastAsia="仿宋_GB2312" w:hAnsi="微软雅黑"/>
          <w:color w:val="000000"/>
          <w:sz w:val="32"/>
          <w:szCs w:val="32"/>
        </w:rPr>
      </w:pPr>
      <w:r w:rsidRPr="00685EDD">
        <w:rPr>
          <w:rFonts w:eastAsia="仿宋_GB2312"/>
          <w:color w:val="000000"/>
          <w:sz w:val="32"/>
          <w:szCs w:val="32"/>
        </w:rPr>
        <w:t>为</w:t>
      </w:r>
      <w:r w:rsidRPr="00685EDD">
        <w:rPr>
          <w:rFonts w:eastAsia="仿宋_GB2312" w:hint="eastAsia"/>
          <w:color w:val="000000"/>
          <w:sz w:val="32"/>
          <w:szCs w:val="32"/>
        </w:rPr>
        <w:t>深入推进“放管服”改革，加快转变政府职能，打造国际一流的营商环境新高地，</w:t>
      </w:r>
      <w:r w:rsidRPr="00685EDD">
        <w:rPr>
          <w:rFonts w:ascii="仿宋_GB2312" w:eastAsia="仿宋_GB2312" w:hAnsi="微软雅黑" w:hint="eastAsia"/>
          <w:color w:val="000000"/>
          <w:sz w:val="32"/>
          <w:szCs w:val="32"/>
        </w:rPr>
        <w:t>探索</w:t>
      </w:r>
      <w:r w:rsidRPr="00685EDD">
        <w:rPr>
          <w:rFonts w:ascii="仿宋_GB2312" w:eastAsia="仿宋_GB2312" w:hAnsi="微软雅黑"/>
          <w:color w:val="000000"/>
          <w:sz w:val="32"/>
          <w:szCs w:val="32"/>
        </w:rPr>
        <w:t>土地全生命周期管理</w:t>
      </w:r>
      <w:r w:rsidRPr="00685EDD">
        <w:rPr>
          <w:rFonts w:ascii="仿宋_GB2312" w:eastAsia="仿宋_GB2312" w:hAnsi="微软雅黑" w:hint="eastAsia"/>
          <w:color w:val="000000"/>
          <w:sz w:val="32"/>
          <w:szCs w:val="32"/>
        </w:rPr>
        <w:t>新机制</w:t>
      </w:r>
      <w:r w:rsidRPr="00685EDD">
        <w:rPr>
          <w:rFonts w:ascii="仿宋_GB2312" w:eastAsia="仿宋_GB2312" w:hAnsi="微软雅黑"/>
          <w:color w:val="000000"/>
          <w:sz w:val="32"/>
          <w:szCs w:val="32"/>
        </w:rPr>
        <w:t>，</w:t>
      </w:r>
      <w:r w:rsidRPr="00685EDD">
        <w:rPr>
          <w:rFonts w:ascii="仿宋_GB2312" w:eastAsia="仿宋_GB2312" w:hAnsi="微软雅黑" w:hint="eastAsia"/>
          <w:color w:val="000000"/>
          <w:sz w:val="32"/>
          <w:szCs w:val="32"/>
        </w:rPr>
        <w:t>推进土地资源</w:t>
      </w:r>
      <w:r w:rsidRPr="00685EDD">
        <w:rPr>
          <w:rFonts w:ascii="仿宋_GB2312" w:eastAsia="仿宋_GB2312" w:hAnsi="微软雅黑"/>
          <w:color w:val="000000"/>
          <w:sz w:val="32"/>
          <w:szCs w:val="32"/>
        </w:rPr>
        <w:t>要</w:t>
      </w:r>
      <w:r w:rsidRPr="00685EDD">
        <w:rPr>
          <w:rFonts w:eastAsia="仿宋_GB2312"/>
          <w:color w:val="000000"/>
          <w:sz w:val="32"/>
          <w:szCs w:val="32"/>
        </w:rPr>
        <w:t>素</w:t>
      </w:r>
      <w:r w:rsidRPr="00685EDD">
        <w:rPr>
          <w:rFonts w:eastAsia="仿宋_GB2312" w:hint="eastAsia"/>
          <w:color w:val="000000"/>
          <w:sz w:val="32"/>
          <w:szCs w:val="32"/>
        </w:rPr>
        <w:t>高效</w:t>
      </w:r>
      <w:r w:rsidRPr="00685EDD">
        <w:rPr>
          <w:rFonts w:eastAsia="仿宋_GB2312"/>
          <w:color w:val="000000"/>
          <w:sz w:val="32"/>
          <w:szCs w:val="32"/>
        </w:rPr>
        <w:t>配置，</w:t>
      </w:r>
      <w:r w:rsidRPr="00685EDD">
        <w:rPr>
          <w:rFonts w:eastAsia="仿宋_GB2312" w:hint="eastAsia"/>
          <w:color w:val="000000"/>
          <w:sz w:val="32"/>
          <w:szCs w:val="32"/>
        </w:rPr>
        <w:t>推动北京经济技术开发区（以下简称“经开区”）高质量发展，按照《国务院办公厅关于全面开展工程建设项目审批制度改革的实施意见》（国办</w:t>
      </w:r>
      <w:r w:rsidRPr="001D6A0F">
        <w:rPr>
          <w:rFonts w:ascii="仿宋_GB2312" w:eastAsia="仿宋_GB2312" w:hint="eastAsia"/>
          <w:color w:val="000000"/>
          <w:sz w:val="32"/>
          <w:szCs w:val="32"/>
        </w:rPr>
        <w:t>发〔2019〕11号）和《北京市人民政府关于加快科技创新构建高精尖经济结构用地政策的意见(试行) 》（京政发〔2017〕39号）、根据《北京市进一步深化工程建设项目审批制度改革实施方案》（京政办发〔2019〕22号）等</w:t>
      </w:r>
      <w:r w:rsidRPr="00685EDD">
        <w:rPr>
          <w:rFonts w:eastAsia="仿宋_GB2312" w:hint="eastAsia"/>
          <w:color w:val="000000"/>
          <w:sz w:val="32"/>
          <w:szCs w:val="32"/>
        </w:rPr>
        <w:t>文件要求和市委市政府决策部署，结合</w:t>
      </w:r>
      <w:r w:rsidRPr="00685EDD">
        <w:rPr>
          <w:rFonts w:ascii="仿宋_GB2312" w:eastAsia="仿宋_GB2312" w:hAnsi="微软雅黑" w:hint="eastAsia"/>
          <w:color w:val="000000"/>
          <w:sz w:val="32"/>
          <w:szCs w:val="32"/>
        </w:rPr>
        <w:t>北京经济</w:t>
      </w:r>
      <w:r w:rsidRPr="00685EDD">
        <w:rPr>
          <w:rFonts w:ascii="仿宋_GB2312" w:eastAsia="仿宋_GB2312" w:hAnsi="微软雅黑"/>
          <w:color w:val="000000"/>
          <w:sz w:val="32"/>
          <w:szCs w:val="32"/>
        </w:rPr>
        <w:t>技术开发区</w:t>
      </w:r>
      <w:r w:rsidRPr="00685EDD">
        <w:rPr>
          <w:rFonts w:ascii="仿宋" w:eastAsia="仿宋" w:hAnsi="仿宋" w:hint="eastAsia"/>
          <w:color w:val="000000"/>
          <w:sz w:val="32"/>
          <w:szCs w:val="32"/>
        </w:rPr>
        <w:t>实际，</w:t>
      </w:r>
      <w:r w:rsidRPr="00685EDD">
        <w:rPr>
          <w:rFonts w:ascii="仿宋_GB2312" w:eastAsia="仿宋_GB2312" w:hAnsi="微软雅黑"/>
          <w:color w:val="000000"/>
          <w:sz w:val="32"/>
          <w:szCs w:val="32"/>
        </w:rPr>
        <w:t>制定本办法。</w:t>
      </w:r>
    </w:p>
    <w:p w:rsidR="00044A7A" w:rsidRPr="00685EDD" w:rsidRDefault="0066072C" w:rsidP="00044A7A">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t>第二条（概念界定）</w:t>
      </w:r>
    </w:p>
    <w:p w:rsidR="00C705FC" w:rsidRDefault="0066072C" w:rsidP="00C705FC">
      <w:pPr>
        <w:widowControl/>
        <w:spacing w:line="560" w:lineRule="exact"/>
        <w:ind w:firstLineChars="200" w:firstLine="640"/>
        <w:rPr>
          <w:rFonts w:ascii="仿宋_GB2312" w:eastAsia="仿宋_GB2312" w:hAnsi="微软雅黑" w:cs="宋体"/>
          <w:color w:val="000000"/>
          <w:kern w:val="0"/>
          <w:sz w:val="32"/>
          <w:szCs w:val="32"/>
        </w:rPr>
      </w:pPr>
      <w:r w:rsidRPr="00685EDD">
        <w:rPr>
          <w:rFonts w:ascii="仿宋_GB2312" w:eastAsia="仿宋_GB2312" w:hAnsi="微软雅黑" w:cs="宋体" w:hint="eastAsia"/>
          <w:color w:val="000000"/>
          <w:kern w:val="0"/>
          <w:sz w:val="32"/>
          <w:szCs w:val="32"/>
        </w:rPr>
        <w:t>本办法所称</w:t>
      </w:r>
      <w:r w:rsidRPr="00685EDD">
        <w:rPr>
          <w:rFonts w:ascii="仿宋_GB2312" w:eastAsia="仿宋_GB2312" w:hint="eastAsia"/>
          <w:color w:val="000000"/>
          <w:sz w:val="32"/>
          <w:szCs w:val="32"/>
        </w:rPr>
        <w:t>产业用地标准化</w:t>
      </w:r>
      <w:r w:rsidRPr="00685EDD">
        <w:rPr>
          <w:rFonts w:ascii="仿宋_GB2312" w:eastAsia="仿宋_GB2312" w:hAnsi="微软雅黑" w:cs="宋体" w:hint="eastAsia"/>
          <w:color w:val="000000"/>
          <w:kern w:val="0"/>
          <w:sz w:val="32"/>
          <w:szCs w:val="32"/>
        </w:rPr>
        <w:t>，</w:t>
      </w:r>
      <w:r w:rsidR="00044A7A" w:rsidRPr="00780401">
        <w:rPr>
          <w:rFonts w:ascii="仿宋_GB2312" w:eastAsia="仿宋_GB2312" w:hAnsi="微软雅黑" w:cs="宋体" w:hint="eastAsia"/>
          <w:color w:val="000000"/>
          <w:kern w:val="0"/>
          <w:sz w:val="32"/>
          <w:szCs w:val="32"/>
        </w:rPr>
        <w:t>是指在“供地标准化、审批便利化、管理规范化、违约契约化、信用体系化”基础上，构建</w:t>
      </w:r>
      <w:r w:rsidR="00044A7A">
        <w:rPr>
          <w:rFonts w:ascii="仿宋_GB2312" w:eastAsia="仿宋_GB2312" w:hAnsi="微软雅黑" w:cs="宋体" w:hint="eastAsia"/>
          <w:color w:val="000000"/>
          <w:kern w:val="0"/>
          <w:sz w:val="32"/>
          <w:szCs w:val="32"/>
        </w:rPr>
        <w:t>集</w:t>
      </w:r>
      <w:r w:rsidR="00044A7A" w:rsidRPr="00780401">
        <w:rPr>
          <w:rFonts w:ascii="仿宋_GB2312" w:eastAsia="仿宋_GB2312" w:hAnsi="微软雅黑" w:cs="宋体" w:hint="eastAsia"/>
          <w:color w:val="000000"/>
          <w:kern w:val="0"/>
          <w:sz w:val="32"/>
          <w:szCs w:val="32"/>
        </w:rPr>
        <w:t>事先告知标准、签订标准协议、</w:t>
      </w:r>
      <w:proofErr w:type="gramStart"/>
      <w:r w:rsidR="00044A7A" w:rsidRPr="00780401">
        <w:rPr>
          <w:rFonts w:ascii="仿宋_GB2312" w:eastAsia="仿宋_GB2312" w:hAnsi="微软雅黑" w:cs="宋体" w:hint="eastAsia"/>
          <w:color w:val="000000"/>
          <w:kern w:val="0"/>
          <w:sz w:val="32"/>
          <w:szCs w:val="32"/>
        </w:rPr>
        <w:t>按标施建</w:t>
      </w:r>
      <w:proofErr w:type="gramEnd"/>
      <w:r w:rsidR="00044A7A" w:rsidRPr="00780401">
        <w:rPr>
          <w:rFonts w:ascii="仿宋_GB2312" w:eastAsia="仿宋_GB2312" w:hAnsi="微软雅黑" w:cs="宋体" w:hint="eastAsia"/>
          <w:color w:val="000000"/>
          <w:kern w:val="0"/>
          <w:sz w:val="32"/>
          <w:szCs w:val="32"/>
        </w:rPr>
        <w:t>、对标验收、信用监管和联合奖惩</w:t>
      </w:r>
      <w:r w:rsidR="00044A7A">
        <w:rPr>
          <w:rFonts w:ascii="仿宋_GB2312" w:eastAsia="仿宋_GB2312" w:hAnsi="微软雅黑" w:cs="宋体" w:hint="eastAsia"/>
          <w:color w:val="000000"/>
          <w:kern w:val="0"/>
          <w:sz w:val="32"/>
          <w:szCs w:val="32"/>
        </w:rPr>
        <w:t>于一体</w:t>
      </w:r>
      <w:r w:rsidR="00044A7A" w:rsidRPr="00780401">
        <w:rPr>
          <w:rFonts w:ascii="仿宋_GB2312" w:eastAsia="仿宋_GB2312" w:hAnsi="微软雅黑" w:cs="宋体" w:hint="eastAsia"/>
          <w:color w:val="000000"/>
          <w:kern w:val="0"/>
          <w:sz w:val="32"/>
          <w:szCs w:val="32"/>
        </w:rPr>
        <w:t>的产业项目精细化管理制度体系。</w:t>
      </w:r>
    </w:p>
    <w:p w:rsidR="0066072C" w:rsidRPr="00685EDD" w:rsidRDefault="0066072C" w:rsidP="0066072C">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lastRenderedPageBreak/>
        <w:t>第三条（适用范围）</w:t>
      </w:r>
    </w:p>
    <w:p w:rsidR="003F256B" w:rsidRDefault="003F256B" w:rsidP="003F256B">
      <w:pPr>
        <w:snapToGrid w:val="0"/>
        <w:spacing w:line="680" w:lineRule="exact"/>
        <w:ind w:firstLineChars="200" w:firstLine="640"/>
        <w:rPr>
          <w:rFonts w:ascii="仿宋_GB2312" w:eastAsia="仿宋_GB2312"/>
          <w:sz w:val="32"/>
          <w:szCs w:val="32"/>
        </w:rPr>
      </w:pPr>
      <w:r w:rsidRPr="000730AB">
        <w:rPr>
          <w:rFonts w:ascii="仿宋_GB2312" w:eastAsia="仿宋_GB2312" w:hint="eastAsia"/>
          <w:color w:val="000000" w:themeColor="text1"/>
          <w:sz w:val="32"/>
          <w:szCs w:val="32"/>
        </w:rPr>
        <w:t>本办法适用于亦庄新城范围（225平方公里）内新批产业投资项目国有建设用地</w:t>
      </w:r>
      <w:r>
        <w:rPr>
          <w:rFonts w:ascii="仿宋_GB2312" w:eastAsia="仿宋_GB2312" w:hint="eastAsia"/>
          <w:color w:val="000000" w:themeColor="text1"/>
          <w:sz w:val="32"/>
          <w:szCs w:val="32"/>
        </w:rPr>
        <w:t>，</w:t>
      </w:r>
      <w:r>
        <w:rPr>
          <w:rFonts w:ascii="仿宋_GB2312" w:eastAsia="仿宋_GB2312" w:hint="eastAsia"/>
          <w:sz w:val="32"/>
          <w:szCs w:val="32"/>
        </w:rPr>
        <w:t>逐步有序地从工业用地向</w:t>
      </w:r>
      <w:r w:rsidRPr="000730AB">
        <w:rPr>
          <w:rFonts w:ascii="仿宋_GB2312" w:eastAsia="仿宋_GB2312" w:hAnsi="仿宋_GB2312" w:cs="仿宋_GB2312" w:hint="eastAsia"/>
          <w:color w:val="000000" w:themeColor="text1"/>
          <w:sz w:val="32"/>
          <w:szCs w:val="32"/>
        </w:rPr>
        <w:t>仓储、研发及总部类商业办公用地</w:t>
      </w:r>
      <w:r>
        <w:rPr>
          <w:rFonts w:ascii="仿宋_GB2312" w:eastAsia="仿宋_GB2312" w:hint="eastAsia"/>
          <w:sz w:val="32"/>
          <w:szCs w:val="32"/>
        </w:rPr>
        <w:t>等延伸。</w:t>
      </w:r>
    </w:p>
    <w:p w:rsidR="0066072C" w:rsidRPr="00685EDD" w:rsidRDefault="0066072C" w:rsidP="0066072C">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t>第四条（组织实施）</w:t>
      </w:r>
    </w:p>
    <w:p w:rsidR="0066072C" w:rsidRPr="00685EDD" w:rsidRDefault="0066072C" w:rsidP="0066072C">
      <w:pPr>
        <w:widowControl/>
        <w:spacing w:line="560" w:lineRule="exact"/>
        <w:ind w:firstLineChars="200" w:firstLine="640"/>
        <w:rPr>
          <w:rFonts w:ascii="仿宋_GB2312" w:eastAsia="仿宋_GB2312"/>
          <w:color w:val="000000"/>
          <w:sz w:val="32"/>
          <w:szCs w:val="32"/>
        </w:rPr>
      </w:pPr>
      <w:r w:rsidRPr="00685EDD">
        <w:rPr>
          <w:rFonts w:ascii="仿宋_GB2312" w:eastAsia="仿宋_GB2312" w:hint="eastAsia"/>
          <w:color w:val="000000"/>
          <w:sz w:val="32"/>
          <w:szCs w:val="32"/>
        </w:rPr>
        <w:t>经开区行政审批制度改革办公室（以下简称“审改办”）负责</w:t>
      </w:r>
      <w:r w:rsidR="0030173C">
        <w:rPr>
          <w:rFonts w:ascii="仿宋_GB2312" w:eastAsia="仿宋_GB2312" w:hint="eastAsia"/>
          <w:color w:val="000000"/>
          <w:sz w:val="32"/>
          <w:szCs w:val="32"/>
        </w:rPr>
        <w:t>产业用地标准化工作</w:t>
      </w:r>
      <w:r w:rsidRPr="00685EDD">
        <w:rPr>
          <w:rFonts w:ascii="仿宋_GB2312" w:eastAsia="仿宋_GB2312" w:hint="eastAsia"/>
          <w:color w:val="000000"/>
          <w:sz w:val="32"/>
          <w:szCs w:val="32"/>
        </w:rPr>
        <w:t>的组织实施、协调推进，各职能部门根据职责分工落实相关工作。</w:t>
      </w:r>
    </w:p>
    <w:p w:rsidR="0066072C" w:rsidRPr="00685EDD" w:rsidRDefault="0066072C" w:rsidP="0066072C">
      <w:pPr>
        <w:widowControl/>
        <w:spacing w:line="560" w:lineRule="exact"/>
        <w:ind w:firstLineChars="200" w:firstLine="640"/>
        <w:rPr>
          <w:rFonts w:ascii="仿宋_GB2312" w:eastAsia="仿宋_GB2312"/>
          <w:color w:val="000000"/>
          <w:sz w:val="32"/>
          <w:szCs w:val="32"/>
        </w:rPr>
      </w:pPr>
    </w:p>
    <w:p w:rsidR="0066072C" w:rsidRPr="00685EDD" w:rsidRDefault="0066072C" w:rsidP="0066072C">
      <w:pPr>
        <w:widowControl/>
        <w:spacing w:line="560" w:lineRule="exact"/>
        <w:ind w:firstLineChars="400" w:firstLine="1280"/>
        <w:jc w:val="center"/>
        <w:rPr>
          <w:rFonts w:ascii="黑体" w:eastAsia="黑体" w:hAnsi="黑体"/>
          <w:color w:val="000000"/>
          <w:sz w:val="32"/>
          <w:szCs w:val="32"/>
        </w:rPr>
      </w:pPr>
      <w:r w:rsidRPr="00685EDD">
        <w:rPr>
          <w:rFonts w:ascii="黑体" w:eastAsia="黑体" w:hAnsi="黑体" w:hint="eastAsia"/>
          <w:color w:val="000000"/>
          <w:sz w:val="32"/>
          <w:szCs w:val="32"/>
        </w:rPr>
        <w:t>第二章  出让前准备</w:t>
      </w:r>
    </w:p>
    <w:p w:rsidR="0066072C" w:rsidRPr="00685EDD" w:rsidRDefault="0066072C" w:rsidP="0066072C">
      <w:pPr>
        <w:widowControl/>
        <w:spacing w:line="560" w:lineRule="exact"/>
        <w:ind w:firstLineChars="400" w:firstLine="1280"/>
        <w:jc w:val="center"/>
        <w:rPr>
          <w:rFonts w:ascii="黑体" w:eastAsia="黑体" w:hAnsi="黑体"/>
          <w:color w:val="000000"/>
          <w:sz w:val="32"/>
          <w:szCs w:val="32"/>
        </w:rPr>
      </w:pPr>
    </w:p>
    <w:p w:rsidR="0066072C" w:rsidRPr="00685EDD" w:rsidRDefault="0066072C" w:rsidP="0066072C">
      <w:pPr>
        <w:widowControl/>
        <w:spacing w:line="560" w:lineRule="exact"/>
        <w:ind w:firstLine="645"/>
        <w:rPr>
          <w:rFonts w:ascii="仿宋_GB2312" w:eastAsia="仿宋_GB2312"/>
          <w:b/>
          <w:color w:val="000000"/>
          <w:sz w:val="32"/>
          <w:szCs w:val="32"/>
        </w:rPr>
      </w:pPr>
      <w:r w:rsidRPr="00685EDD">
        <w:rPr>
          <w:rFonts w:ascii="仿宋_GB2312" w:eastAsia="仿宋_GB2312" w:hint="eastAsia"/>
          <w:b/>
          <w:color w:val="000000"/>
          <w:sz w:val="32"/>
          <w:szCs w:val="32"/>
        </w:rPr>
        <w:t>第五条（</w:t>
      </w:r>
      <w:r>
        <w:rPr>
          <w:rFonts w:ascii="仿宋_GB2312" w:eastAsia="仿宋_GB2312" w:hint="eastAsia"/>
          <w:b/>
          <w:color w:val="000000"/>
          <w:sz w:val="32"/>
          <w:szCs w:val="32"/>
        </w:rPr>
        <w:t xml:space="preserve"> </w:t>
      </w:r>
      <w:r w:rsidRPr="00685EDD">
        <w:rPr>
          <w:rFonts w:ascii="仿宋_GB2312" w:eastAsia="仿宋_GB2312" w:hint="eastAsia"/>
          <w:b/>
          <w:color w:val="000000"/>
          <w:sz w:val="32"/>
          <w:szCs w:val="32"/>
        </w:rPr>
        <w:t>产业组团定位）</w:t>
      </w:r>
    </w:p>
    <w:p w:rsidR="0066072C" w:rsidRPr="00685EDD" w:rsidRDefault="0066072C" w:rsidP="0066072C">
      <w:pPr>
        <w:widowControl/>
        <w:spacing w:line="560" w:lineRule="exact"/>
        <w:ind w:firstLineChars="200" w:firstLine="640"/>
        <w:jc w:val="left"/>
        <w:rPr>
          <w:rFonts w:ascii="仿宋_GB2312" w:eastAsia="仿宋_GB2312" w:hAnsi="微软雅黑" w:cs="宋体"/>
          <w:color w:val="000000"/>
          <w:kern w:val="0"/>
          <w:sz w:val="32"/>
          <w:szCs w:val="32"/>
        </w:rPr>
      </w:pPr>
      <w:r w:rsidRPr="00685EDD">
        <w:rPr>
          <w:rFonts w:ascii="仿宋_GB2312" w:eastAsia="仿宋_GB2312" w:hAnsi="微软雅黑" w:cs="宋体" w:hint="eastAsia"/>
          <w:color w:val="000000"/>
          <w:kern w:val="0"/>
          <w:sz w:val="32"/>
          <w:szCs w:val="32"/>
        </w:rPr>
        <w:t>经开区</w:t>
      </w:r>
      <w:r w:rsidRPr="00685EDD">
        <w:rPr>
          <w:rFonts w:ascii="仿宋_GB2312" w:eastAsia="仿宋_GB2312" w:hint="eastAsia"/>
          <w:bCs/>
          <w:color w:val="000000"/>
          <w:sz w:val="32"/>
          <w:szCs w:val="32"/>
        </w:rPr>
        <w:t>结合</w:t>
      </w:r>
      <w:r w:rsidRPr="00685EDD">
        <w:rPr>
          <w:rFonts w:ascii="仿宋_GB2312" w:eastAsia="仿宋_GB2312" w:hAnsi="微软雅黑" w:cs="宋体" w:hint="eastAsia"/>
          <w:color w:val="000000"/>
          <w:kern w:val="0"/>
          <w:sz w:val="32"/>
          <w:szCs w:val="32"/>
        </w:rPr>
        <w:t>亦庄新城控制性详细规划</w:t>
      </w:r>
      <w:r w:rsidRPr="00685EDD">
        <w:rPr>
          <w:rFonts w:ascii="仿宋_GB2312" w:eastAsia="仿宋_GB2312" w:hint="eastAsia"/>
          <w:bCs/>
          <w:color w:val="000000"/>
          <w:sz w:val="32"/>
          <w:szCs w:val="32"/>
        </w:rPr>
        <w:t>，围绕新一代</w:t>
      </w:r>
      <w:r w:rsidRPr="00685EDD">
        <w:rPr>
          <w:rFonts w:ascii="仿宋_GB2312" w:eastAsia="仿宋_GB2312" w:hAnsi="仿宋_GB2312" w:cs="仿宋_GB2312" w:hint="eastAsia"/>
          <w:color w:val="000000"/>
          <w:sz w:val="32"/>
          <w:szCs w:val="32"/>
        </w:rPr>
        <w:t>信息技术、高端汽车及新能源智能汽车、生物技术和大健康、机器人和智能制造等主导产业组团布局，划定各街区标准化</w:t>
      </w:r>
      <w:r w:rsidR="0030173C">
        <w:rPr>
          <w:rFonts w:ascii="仿宋_GB2312" w:eastAsia="仿宋_GB2312" w:hAnsi="仿宋_GB2312" w:cs="仿宋_GB2312" w:hint="eastAsia"/>
          <w:color w:val="000000"/>
          <w:sz w:val="32"/>
          <w:szCs w:val="32"/>
        </w:rPr>
        <w:t>用地</w:t>
      </w:r>
      <w:r w:rsidRPr="00685EDD">
        <w:rPr>
          <w:rFonts w:ascii="仿宋_GB2312" w:eastAsia="仿宋_GB2312" w:hAnsi="仿宋_GB2312" w:cs="仿宋_GB2312" w:hint="eastAsia"/>
          <w:color w:val="000000"/>
          <w:sz w:val="32"/>
          <w:szCs w:val="32"/>
        </w:rPr>
        <w:t>区域范围，推进</w:t>
      </w:r>
      <w:r w:rsidRPr="00685EDD">
        <w:rPr>
          <w:rFonts w:ascii="仿宋_GB2312" w:eastAsia="仿宋_GB2312" w:hint="eastAsia"/>
          <w:bCs/>
          <w:color w:val="000000"/>
          <w:sz w:val="32"/>
          <w:szCs w:val="32"/>
        </w:rPr>
        <w:t>产业集聚，</w:t>
      </w:r>
      <w:r w:rsidRPr="00685EDD">
        <w:rPr>
          <w:rFonts w:ascii="仿宋_GB2312" w:eastAsia="仿宋_GB2312" w:hAnsi="仿宋_GB2312" w:cs="仿宋_GB2312" w:hint="eastAsia"/>
          <w:color w:val="000000"/>
          <w:sz w:val="32"/>
          <w:szCs w:val="32"/>
        </w:rPr>
        <w:t>逐步实现主导产业在</w:t>
      </w:r>
      <w:r w:rsidRPr="00685EDD">
        <w:rPr>
          <w:rFonts w:ascii="仿宋_GB2312" w:eastAsia="仿宋_GB2312" w:hint="eastAsia"/>
          <w:bCs/>
          <w:color w:val="000000"/>
          <w:sz w:val="32"/>
          <w:szCs w:val="32"/>
        </w:rPr>
        <w:t>亦庄新城</w:t>
      </w:r>
      <w:r w:rsidRPr="00685EDD">
        <w:rPr>
          <w:rFonts w:ascii="仿宋_GB2312" w:eastAsia="仿宋_GB2312" w:hAnsi="微软雅黑" w:cs="宋体" w:hint="eastAsia"/>
          <w:color w:val="000000"/>
          <w:kern w:val="0"/>
          <w:sz w:val="32"/>
          <w:szCs w:val="32"/>
        </w:rPr>
        <w:t>组团式布局、街区内统筹。</w:t>
      </w:r>
    </w:p>
    <w:p w:rsidR="0066072C" w:rsidRPr="00685EDD" w:rsidRDefault="0066072C" w:rsidP="0066072C">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t>第六条（区域综合评估）</w:t>
      </w:r>
    </w:p>
    <w:p w:rsidR="0066072C" w:rsidRPr="00685EDD" w:rsidRDefault="0066072C" w:rsidP="0066072C">
      <w:pPr>
        <w:widowControl/>
        <w:spacing w:line="560" w:lineRule="exact"/>
        <w:ind w:firstLineChars="200" w:firstLine="640"/>
        <w:rPr>
          <w:rFonts w:ascii="仿宋_GB2312" w:eastAsia="仿宋_GB2312" w:hAnsi="仿宋_GB2312" w:cs="仿宋_GB2312"/>
          <w:color w:val="000000"/>
          <w:sz w:val="32"/>
          <w:szCs w:val="32"/>
        </w:rPr>
      </w:pPr>
      <w:r w:rsidRPr="00685EDD">
        <w:rPr>
          <w:rFonts w:ascii="仿宋_GB2312" w:eastAsia="仿宋_GB2312" w:hAnsi="仿宋_GB2312" w:cs="仿宋_GB2312" w:hint="eastAsia"/>
          <w:color w:val="000000"/>
          <w:sz w:val="32"/>
          <w:szCs w:val="32"/>
        </w:rPr>
        <w:t>经开区</w:t>
      </w:r>
      <w:proofErr w:type="gramStart"/>
      <w:r w:rsidRPr="00685EDD">
        <w:rPr>
          <w:rFonts w:ascii="仿宋_GB2312" w:eastAsia="仿宋_GB2312" w:hAnsi="仿宋_GB2312" w:cs="仿宋_GB2312" w:hint="eastAsia"/>
          <w:color w:val="000000"/>
          <w:sz w:val="32"/>
          <w:szCs w:val="32"/>
        </w:rPr>
        <w:t>按照亦</w:t>
      </w:r>
      <w:proofErr w:type="gramEnd"/>
      <w:r w:rsidRPr="00685EDD">
        <w:rPr>
          <w:rFonts w:ascii="仿宋_GB2312" w:eastAsia="仿宋_GB2312" w:hAnsi="仿宋_GB2312" w:cs="仿宋_GB2312" w:hint="eastAsia"/>
          <w:color w:val="000000"/>
          <w:sz w:val="32"/>
          <w:szCs w:val="32"/>
        </w:rPr>
        <w:t>庄新城控制性详细规划，开展各街区区域评估。区域综合评估主要包括环境影响评估、交通影响评估、水影响评估、</w:t>
      </w:r>
      <w:r w:rsidRPr="00685EDD">
        <w:rPr>
          <w:rFonts w:ascii="仿宋_GB2312" w:eastAsia="仿宋_GB2312" w:hAnsi="宋体" w:cs="宋体" w:hint="eastAsia"/>
          <w:bCs/>
          <w:color w:val="000000"/>
          <w:kern w:val="0"/>
          <w:sz w:val="32"/>
          <w:szCs w:val="32"/>
        </w:rPr>
        <w:t>文物保护评估</w:t>
      </w:r>
      <w:r w:rsidRPr="00685EDD">
        <w:rPr>
          <w:rFonts w:ascii="仿宋_GB2312" w:eastAsia="仿宋_GB2312" w:hAnsi="仿宋_GB2312" w:cs="仿宋_GB2312" w:hint="eastAsia"/>
          <w:color w:val="000000"/>
          <w:sz w:val="32"/>
          <w:szCs w:val="32"/>
        </w:rPr>
        <w:t>等。</w:t>
      </w:r>
      <w:r w:rsidRPr="00CC31D1">
        <w:rPr>
          <w:rFonts w:ascii="仿宋_GB2312" w:eastAsia="仿宋_GB2312" w:hAnsi="仿宋_GB2312" w:cs="仿宋_GB2312" w:hint="eastAsia"/>
          <w:sz w:val="32"/>
          <w:szCs w:val="32"/>
        </w:rPr>
        <w:t>根据区域有关评估情况，完善项目准</w:t>
      </w:r>
      <w:r>
        <w:rPr>
          <w:rFonts w:ascii="仿宋_GB2312" w:eastAsia="仿宋_GB2312" w:hAnsi="仿宋_GB2312" w:cs="仿宋_GB2312" w:hint="eastAsia"/>
          <w:sz w:val="32"/>
          <w:szCs w:val="32"/>
        </w:rPr>
        <w:t>入要求，</w:t>
      </w:r>
      <w:r w:rsidRPr="00CC31D1">
        <w:rPr>
          <w:rFonts w:ascii="仿宋_GB2312" w:eastAsia="仿宋_GB2312" w:hAnsi="仿宋_GB2312" w:cs="仿宋_GB2312" w:hint="eastAsia"/>
          <w:sz w:val="32"/>
          <w:szCs w:val="32"/>
        </w:rPr>
        <w:t>向社会公布负面清单。</w:t>
      </w:r>
    </w:p>
    <w:p w:rsidR="0066072C" w:rsidRPr="00685EDD" w:rsidRDefault="0066072C" w:rsidP="0066072C">
      <w:pPr>
        <w:widowControl/>
        <w:snapToGrid w:val="0"/>
        <w:spacing w:line="560" w:lineRule="exact"/>
        <w:ind w:firstLineChars="200" w:firstLine="640"/>
        <w:rPr>
          <w:rFonts w:ascii="仿宋_GB2312" w:eastAsia="仿宋_GB2312" w:hAnsi="仿宋_GB2312" w:cs="仿宋_GB2312"/>
          <w:color w:val="000000"/>
          <w:sz w:val="32"/>
          <w:szCs w:val="32"/>
        </w:rPr>
      </w:pPr>
      <w:r w:rsidRPr="00685EDD">
        <w:rPr>
          <w:rFonts w:ascii="仿宋_GB2312" w:eastAsia="仿宋_GB2312" w:hAnsi="仿宋_GB2312" w:cs="仿宋_GB2312" w:hint="eastAsia"/>
          <w:color w:val="000000"/>
          <w:sz w:val="32"/>
          <w:szCs w:val="32"/>
        </w:rPr>
        <w:lastRenderedPageBreak/>
        <w:t>对符合</w:t>
      </w:r>
      <w:r w:rsidRPr="00685EDD">
        <w:rPr>
          <w:rFonts w:ascii="仿宋_GB2312" w:eastAsia="仿宋_GB2312" w:hAnsi="仿宋_GB2312" w:cs="仿宋_GB2312"/>
          <w:color w:val="000000"/>
          <w:sz w:val="32"/>
          <w:szCs w:val="32"/>
        </w:rPr>
        <w:t>区域综合评估要求</w:t>
      </w:r>
      <w:r w:rsidRPr="00685EDD">
        <w:rPr>
          <w:rFonts w:ascii="仿宋_GB2312" w:eastAsia="仿宋_GB2312" w:hAnsi="仿宋_GB2312" w:cs="仿宋_GB2312" w:hint="eastAsia"/>
          <w:color w:val="000000"/>
          <w:sz w:val="32"/>
          <w:szCs w:val="32"/>
        </w:rPr>
        <w:t>的建设项目，审批环节原则上不再重复开展相关评价工作，</w:t>
      </w:r>
      <w:r w:rsidRPr="00685EDD">
        <w:rPr>
          <w:rFonts w:ascii="仿宋_GB2312" w:eastAsia="仿宋_GB2312" w:hAnsi="仿宋_GB2312" w:cs="仿宋_GB2312"/>
          <w:color w:val="000000"/>
          <w:sz w:val="32"/>
          <w:szCs w:val="32"/>
        </w:rPr>
        <w:t>特殊项目、重大规划调整和法律法规另有规定的除外。</w:t>
      </w:r>
    </w:p>
    <w:p w:rsidR="0066072C" w:rsidRPr="00685EDD" w:rsidRDefault="0066072C" w:rsidP="0066072C">
      <w:pPr>
        <w:widowControl/>
        <w:snapToGrid w:val="0"/>
        <w:spacing w:line="560" w:lineRule="exact"/>
        <w:ind w:firstLineChars="200" w:firstLine="640"/>
        <w:rPr>
          <w:rFonts w:eastAsia="仿宋_GB2312"/>
          <w:color w:val="000000"/>
          <w:sz w:val="32"/>
          <w:szCs w:val="32"/>
        </w:rPr>
      </w:pPr>
      <w:r w:rsidRPr="00685EDD">
        <w:rPr>
          <w:rFonts w:eastAsia="仿宋_GB2312" w:hint="eastAsia"/>
          <w:color w:val="000000"/>
          <w:sz w:val="32"/>
          <w:szCs w:val="32"/>
        </w:rPr>
        <w:t>区域综合评估原则上纳入亦庄新城控制性详细规划编制成果。多个街区合并开展区域评估的，经专家技术审查论证后，按照管委会工作流程审定并向社会公布执行。</w:t>
      </w:r>
    </w:p>
    <w:p w:rsidR="0066072C" w:rsidRPr="00685EDD" w:rsidRDefault="0066072C" w:rsidP="0066072C">
      <w:pPr>
        <w:widowControl/>
        <w:spacing w:line="560" w:lineRule="exact"/>
        <w:ind w:firstLineChars="200" w:firstLine="643"/>
        <w:jc w:val="left"/>
        <w:rPr>
          <w:rFonts w:ascii="仿宋_GB2312" w:eastAsia="仿宋_GB2312"/>
          <w:b/>
          <w:color w:val="000000"/>
          <w:sz w:val="32"/>
          <w:szCs w:val="32"/>
        </w:rPr>
      </w:pPr>
      <w:r w:rsidRPr="00685EDD">
        <w:rPr>
          <w:rFonts w:ascii="仿宋_GB2312" w:eastAsia="仿宋_GB2312" w:hint="eastAsia"/>
          <w:b/>
          <w:color w:val="000000"/>
          <w:sz w:val="32"/>
          <w:szCs w:val="32"/>
        </w:rPr>
        <w:t>第七条（指标体系）</w:t>
      </w:r>
    </w:p>
    <w:p w:rsidR="0066072C" w:rsidRPr="00685EDD" w:rsidRDefault="0066072C" w:rsidP="0066072C">
      <w:pPr>
        <w:widowControl/>
        <w:spacing w:line="560" w:lineRule="exact"/>
        <w:ind w:firstLineChars="200" w:firstLine="640"/>
        <w:jc w:val="left"/>
        <w:rPr>
          <w:rFonts w:ascii="仿宋_GB2312" w:eastAsia="仿宋_GB2312" w:hAnsi="微软雅黑"/>
          <w:color w:val="000000"/>
          <w:sz w:val="32"/>
          <w:szCs w:val="32"/>
        </w:rPr>
      </w:pPr>
      <w:r w:rsidRPr="00685EDD">
        <w:rPr>
          <w:rFonts w:ascii="仿宋_GB2312" w:eastAsia="仿宋_GB2312" w:hAnsi="微软雅黑" w:hint="eastAsia"/>
          <w:color w:val="000000"/>
          <w:sz w:val="32"/>
          <w:szCs w:val="32"/>
        </w:rPr>
        <w:t>经开区按照街区控制性详细规划及区域综合评估，根据企业发展不同周期，结合不同产业特点分类制定标准化工业用地指标体系，主要包括规划指标、经济效益指标、科技创新指标、环境指标、能耗指标和其他配套指标等。</w:t>
      </w:r>
    </w:p>
    <w:p w:rsidR="0066072C" w:rsidRPr="00685EDD" w:rsidRDefault="0066072C" w:rsidP="0066072C">
      <w:pPr>
        <w:widowControl/>
        <w:spacing w:line="560" w:lineRule="exact"/>
        <w:ind w:firstLineChars="200" w:firstLine="643"/>
        <w:jc w:val="left"/>
        <w:rPr>
          <w:rFonts w:ascii="仿宋_GB2312" w:eastAsia="仿宋_GB2312" w:cs="仿宋_GB2312"/>
          <w:b/>
          <w:bCs/>
          <w:color w:val="000000"/>
          <w:kern w:val="0"/>
          <w:sz w:val="32"/>
          <w:szCs w:val="32"/>
        </w:rPr>
      </w:pPr>
      <w:r w:rsidRPr="00685EDD">
        <w:rPr>
          <w:rFonts w:ascii="仿宋_GB2312" w:eastAsia="仿宋_GB2312" w:hAnsi="微软雅黑" w:hint="eastAsia"/>
          <w:b/>
          <w:bCs/>
          <w:color w:val="000000"/>
          <w:sz w:val="32"/>
          <w:szCs w:val="32"/>
        </w:rPr>
        <w:t>第八条 （通平条件）</w:t>
      </w:r>
    </w:p>
    <w:p w:rsidR="0066072C" w:rsidRPr="00685EDD" w:rsidRDefault="0066072C" w:rsidP="0066072C">
      <w:pPr>
        <w:spacing w:line="560" w:lineRule="exact"/>
        <w:ind w:firstLine="645"/>
        <w:rPr>
          <w:rFonts w:ascii="仿宋_GB2312" w:eastAsia="仿宋_GB2312" w:hAnsi="微软雅黑" w:cs="宋体"/>
          <w:color w:val="000000"/>
          <w:kern w:val="0"/>
          <w:sz w:val="32"/>
          <w:szCs w:val="32"/>
        </w:rPr>
      </w:pPr>
      <w:r w:rsidRPr="00685EDD">
        <w:rPr>
          <w:rFonts w:ascii="仿宋_GB2312" w:eastAsia="仿宋_GB2312" w:hint="eastAsia"/>
          <w:color w:val="000000"/>
          <w:sz w:val="32"/>
          <w:szCs w:val="32"/>
        </w:rPr>
        <w:t>经开区</w:t>
      </w:r>
      <w:r w:rsidRPr="00685EDD">
        <w:rPr>
          <w:rFonts w:eastAsia="仿宋_GB2312" w:hint="eastAsia"/>
          <w:color w:val="000000"/>
          <w:sz w:val="32"/>
          <w:szCs w:val="32"/>
        </w:rPr>
        <w:t>分区域分产业确定土地出让前的通平条件。</w:t>
      </w:r>
      <w:r w:rsidRPr="00685EDD">
        <w:rPr>
          <w:rFonts w:ascii="仿宋_GB2312" w:eastAsia="仿宋_GB2312" w:hint="eastAsia"/>
          <w:color w:val="000000"/>
          <w:sz w:val="32"/>
          <w:szCs w:val="32"/>
        </w:rPr>
        <w:t>在土地出让前，确保具备项目开工前所必须的</w:t>
      </w:r>
      <w:r w:rsidRPr="00685EDD">
        <w:rPr>
          <w:rFonts w:ascii="仿宋_GB2312" w:eastAsia="仿宋_GB2312" w:hAnsi="微软雅黑" w:cs="宋体" w:hint="eastAsia"/>
          <w:color w:val="000000"/>
          <w:kern w:val="0"/>
          <w:sz w:val="32"/>
          <w:szCs w:val="32"/>
        </w:rPr>
        <w:t>通水、通电、通路、通讯、排水、热力、燃气、土地平整等基本条件。</w:t>
      </w:r>
    </w:p>
    <w:p w:rsidR="0066072C" w:rsidRPr="00685EDD" w:rsidRDefault="0066072C" w:rsidP="0066072C">
      <w:pPr>
        <w:spacing w:line="560" w:lineRule="exact"/>
        <w:ind w:firstLine="645"/>
        <w:jc w:val="left"/>
        <w:rPr>
          <w:rFonts w:ascii="仿宋_GB2312" w:eastAsia="仿宋_GB2312"/>
          <w:color w:val="000000"/>
          <w:sz w:val="32"/>
          <w:szCs w:val="32"/>
        </w:rPr>
      </w:pPr>
    </w:p>
    <w:p w:rsidR="0066072C" w:rsidRPr="00685EDD" w:rsidRDefault="0066072C" w:rsidP="0066072C">
      <w:pPr>
        <w:spacing w:line="560" w:lineRule="exact"/>
        <w:ind w:firstLine="643"/>
        <w:jc w:val="center"/>
        <w:rPr>
          <w:rFonts w:ascii="黑体" w:eastAsia="黑体" w:hAnsi="黑体"/>
          <w:color w:val="000000"/>
          <w:sz w:val="32"/>
          <w:szCs w:val="32"/>
        </w:rPr>
      </w:pPr>
      <w:r w:rsidRPr="00685EDD">
        <w:rPr>
          <w:rFonts w:ascii="黑体" w:eastAsia="黑体" w:hAnsi="黑体" w:hint="eastAsia"/>
          <w:color w:val="000000"/>
          <w:sz w:val="32"/>
          <w:szCs w:val="32"/>
        </w:rPr>
        <w:t>第三章  土地出让</w:t>
      </w:r>
    </w:p>
    <w:p w:rsidR="0066072C" w:rsidRPr="00685EDD" w:rsidRDefault="0066072C" w:rsidP="0066072C">
      <w:pPr>
        <w:spacing w:line="560" w:lineRule="exact"/>
        <w:ind w:firstLine="643"/>
        <w:jc w:val="center"/>
        <w:rPr>
          <w:rFonts w:ascii="黑体" w:eastAsia="黑体" w:hAnsi="黑体"/>
          <w:color w:val="000000"/>
          <w:sz w:val="32"/>
          <w:szCs w:val="32"/>
        </w:rPr>
      </w:pPr>
    </w:p>
    <w:p w:rsidR="0066072C" w:rsidRPr="00685EDD" w:rsidRDefault="0066072C" w:rsidP="0066072C">
      <w:pPr>
        <w:spacing w:line="560" w:lineRule="exact"/>
        <w:ind w:firstLine="645"/>
        <w:rPr>
          <w:rFonts w:ascii="仿宋_GB2312" w:eastAsia="仿宋_GB2312"/>
          <w:b/>
          <w:color w:val="000000"/>
          <w:sz w:val="32"/>
          <w:szCs w:val="32"/>
        </w:rPr>
      </w:pPr>
      <w:r w:rsidRPr="00685EDD">
        <w:rPr>
          <w:rFonts w:ascii="仿宋_GB2312" w:eastAsia="仿宋_GB2312" w:hint="eastAsia"/>
          <w:b/>
          <w:color w:val="000000"/>
          <w:sz w:val="32"/>
          <w:szCs w:val="32"/>
        </w:rPr>
        <w:t>第九条（入区审查与签订协议）</w:t>
      </w:r>
    </w:p>
    <w:p w:rsidR="0066072C" w:rsidRPr="00685EDD" w:rsidRDefault="0066072C" w:rsidP="0066072C">
      <w:pPr>
        <w:spacing w:line="560" w:lineRule="exact"/>
        <w:ind w:firstLine="645"/>
        <w:rPr>
          <w:rFonts w:ascii="仿宋_GB2312" w:eastAsia="仿宋_GB2312"/>
          <w:color w:val="000000"/>
          <w:sz w:val="32"/>
          <w:szCs w:val="32"/>
        </w:rPr>
      </w:pPr>
      <w:r w:rsidRPr="00685EDD">
        <w:rPr>
          <w:rFonts w:ascii="仿宋_GB2312" w:eastAsia="仿宋_GB2312" w:hint="eastAsia"/>
          <w:color w:val="000000"/>
          <w:sz w:val="32"/>
          <w:szCs w:val="32"/>
        </w:rPr>
        <w:t>经开区根据街区</w:t>
      </w:r>
      <w:r w:rsidRPr="00685EDD">
        <w:rPr>
          <w:rFonts w:ascii="仿宋_GB2312" w:eastAsia="仿宋_GB2312"/>
          <w:color w:val="000000"/>
          <w:sz w:val="32"/>
          <w:szCs w:val="32"/>
        </w:rPr>
        <w:t>功能定位</w:t>
      </w:r>
      <w:r w:rsidRPr="00685EDD">
        <w:rPr>
          <w:rFonts w:ascii="仿宋_GB2312" w:eastAsia="仿宋_GB2312" w:hint="eastAsia"/>
          <w:color w:val="000000"/>
          <w:sz w:val="32"/>
          <w:szCs w:val="32"/>
        </w:rPr>
        <w:t>、用地指标体系明确各地块准入标准，组织开展项目入区审查，明确项目准入意见。对准予入区的产业项目，签订《产业</w:t>
      </w:r>
      <w:r w:rsidR="0030173C">
        <w:rPr>
          <w:rFonts w:ascii="仿宋_GB2312" w:eastAsia="仿宋_GB2312" w:hint="eastAsia"/>
          <w:color w:val="000000"/>
          <w:sz w:val="32"/>
          <w:szCs w:val="32"/>
        </w:rPr>
        <w:t>用地</w:t>
      </w:r>
      <w:r w:rsidR="0030173C" w:rsidRPr="00685EDD">
        <w:rPr>
          <w:rFonts w:ascii="仿宋_GB2312" w:eastAsia="仿宋_GB2312" w:hint="eastAsia"/>
          <w:color w:val="000000"/>
          <w:sz w:val="32"/>
          <w:szCs w:val="32"/>
        </w:rPr>
        <w:t>标准化</w:t>
      </w:r>
      <w:r w:rsidRPr="00685EDD">
        <w:rPr>
          <w:rFonts w:ascii="仿宋_GB2312" w:eastAsia="仿宋_GB2312" w:hint="eastAsia"/>
          <w:color w:val="000000"/>
          <w:sz w:val="32"/>
          <w:szCs w:val="32"/>
        </w:rPr>
        <w:t>管理入区协议》（以下简称《入</w:t>
      </w:r>
      <w:r w:rsidRPr="00685EDD">
        <w:rPr>
          <w:rFonts w:ascii="仿宋_GB2312" w:eastAsia="仿宋_GB2312" w:hint="eastAsia"/>
          <w:color w:val="000000"/>
          <w:sz w:val="32"/>
          <w:szCs w:val="32"/>
        </w:rPr>
        <w:lastRenderedPageBreak/>
        <w:t>区协议》），协议中载明具体地块出让时具备的通平条件、评估标准，地块指标要求、建设进度、达产复核、违约责任等内容。</w:t>
      </w:r>
    </w:p>
    <w:p w:rsidR="0066072C" w:rsidRPr="00685EDD" w:rsidRDefault="0066072C" w:rsidP="0066072C">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t>第十条（按标出让）</w:t>
      </w:r>
    </w:p>
    <w:p w:rsidR="0066072C" w:rsidRPr="00685EDD" w:rsidRDefault="0066072C" w:rsidP="0066072C">
      <w:pPr>
        <w:widowControl/>
        <w:spacing w:line="560" w:lineRule="exact"/>
        <w:ind w:firstLine="645"/>
        <w:rPr>
          <w:rFonts w:ascii="仿宋_GB2312" w:eastAsia="仿宋_GB2312" w:hAnsi="微软雅黑" w:cs="宋体"/>
          <w:color w:val="000000"/>
          <w:kern w:val="0"/>
          <w:sz w:val="32"/>
          <w:szCs w:val="32"/>
        </w:rPr>
      </w:pPr>
      <w:r w:rsidRPr="00685EDD">
        <w:rPr>
          <w:rFonts w:ascii="仿宋_GB2312" w:eastAsia="仿宋_GB2312" w:hint="eastAsia"/>
          <w:color w:val="000000"/>
          <w:sz w:val="32"/>
          <w:szCs w:val="32"/>
        </w:rPr>
        <w:t>经开区</w:t>
      </w:r>
      <w:r w:rsidRPr="00685EDD">
        <w:rPr>
          <w:rFonts w:ascii="仿宋_GB2312" w:eastAsia="仿宋_GB2312" w:hAnsi="微软雅黑" w:cs="宋体" w:hint="eastAsia"/>
          <w:color w:val="000000"/>
          <w:kern w:val="0"/>
          <w:sz w:val="32"/>
          <w:szCs w:val="32"/>
        </w:rPr>
        <w:t>按照</w:t>
      </w:r>
      <w:r w:rsidR="0030173C" w:rsidRPr="00685EDD">
        <w:rPr>
          <w:rFonts w:ascii="仿宋_GB2312" w:eastAsia="仿宋_GB2312" w:hint="eastAsia"/>
          <w:color w:val="000000"/>
          <w:sz w:val="32"/>
          <w:szCs w:val="32"/>
        </w:rPr>
        <w:t>产业</w:t>
      </w:r>
      <w:r w:rsidR="0030173C">
        <w:rPr>
          <w:rFonts w:ascii="仿宋_GB2312" w:eastAsia="仿宋_GB2312" w:hint="eastAsia"/>
          <w:color w:val="000000"/>
          <w:sz w:val="32"/>
          <w:szCs w:val="32"/>
        </w:rPr>
        <w:t>用地</w:t>
      </w:r>
      <w:r w:rsidR="0030173C" w:rsidRPr="00685EDD">
        <w:rPr>
          <w:rFonts w:ascii="仿宋_GB2312" w:eastAsia="仿宋_GB2312" w:hint="eastAsia"/>
          <w:color w:val="000000"/>
          <w:sz w:val="32"/>
          <w:szCs w:val="32"/>
        </w:rPr>
        <w:t>标准化管理</w:t>
      </w:r>
      <w:r w:rsidR="0002608D">
        <w:rPr>
          <w:rFonts w:ascii="仿宋_GB2312" w:eastAsia="仿宋_GB2312" w:hint="eastAsia"/>
          <w:color w:val="000000"/>
          <w:sz w:val="32"/>
          <w:szCs w:val="32"/>
        </w:rPr>
        <w:t>工作</w:t>
      </w:r>
      <w:r w:rsidRPr="00685EDD">
        <w:rPr>
          <w:rFonts w:ascii="仿宋_GB2312" w:eastAsia="仿宋_GB2312" w:hAnsi="微软雅黑" w:cs="宋体" w:hint="eastAsia"/>
          <w:color w:val="000000"/>
          <w:kern w:val="0"/>
          <w:sz w:val="32"/>
          <w:szCs w:val="32"/>
        </w:rPr>
        <w:t>要求审议土地出让方案，组织实施土地“招拍挂”工作。</w:t>
      </w:r>
      <w:r w:rsidRPr="00685EDD">
        <w:rPr>
          <w:rFonts w:ascii="仿宋_GB2312" w:eastAsia="仿宋_GB2312" w:hint="eastAsia"/>
          <w:color w:val="000000"/>
          <w:sz w:val="32"/>
          <w:szCs w:val="32"/>
        </w:rPr>
        <w:t>企业竞得土地后，应与经开区管委会土地管理部门签订《国有建设用地使用权出让合同》（以下简称《出让合同》）。</w:t>
      </w:r>
    </w:p>
    <w:p w:rsidR="0066072C" w:rsidRPr="00685EDD" w:rsidRDefault="0066072C" w:rsidP="0066072C">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t>第十一条（产权登记）</w:t>
      </w:r>
    </w:p>
    <w:p w:rsidR="0066072C" w:rsidRPr="00685EDD" w:rsidRDefault="0066072C" w:rsidP="0066072C">
      <w:pPr>
        <w:spacing w:line="560" w:lineRule="exact"/>
        <w:ind w:firstLine="645"/>
        <w:rPr>
          <w:rFonts w:ascii="仿宋_GB2312" w:eastAsia="仿宋_GB2312"/>
          <w:color w:val="000000"/>
          <w:sz w:val="32"/>
          <w:szCs w:val="32"/>
        </w:rPr>
      </w:pPr>
      <w:r w:rsidRPr="00685EDD">
        <w:rPr>
          <w:rFonts w:ascii="仿宋_GB2312" w:eastAsia="仿宋_GB2312" w:hint="eastAsia"/>
          <w:color w:val="000000"/>
          <w:sz w:val="32"/>
          <w:szCs w:val="32"/>
        </w:rPr>
        <w:t>企业按照约定缴纳全部土地使用权地价款及相关税费后，依法申请办理国有建设用地使用权登记，办理《不动产权证书》。通过先租后让方式租赁国有建设用地使用权的，签订《国有建设用地使用权租赁合同》，承租人支付租金后依法申请办理《不动产权证书》。取得标准化</w:t>
      </w:r>
      <w:r w:rsidR="00383A21">
        <w:rPr>
          <w:rFonts w:ascii="仿宋_GB2312" w:eastAsia="仿宋_GB2312" w:hint="eastAsia"/>
          <w:color w:val="000000"/>
          <w:sz w:val="32"/>
          <w:szCs w:val="32"/>
        </w:rPr>
        <w:t>工业</w:t>
      </w:r>
      <w:r w:rsidRPr="00685EDD">
        <w:rPr>
          <w:rFonts w:ascii="仿宋_GB2312" w:eastAsia="仿宋_GB2312" w:hint="eastAsia"/>
          <w:color w:val="000000"/>
          <w:sz w:val="32"/>
          <w:szCs w:val="32"/>
        </w:rPr>
        <w:t>用地使用权的项目主体，未经管委会同意不得转让土地、变更股权。</w:t>
      </w:r>
    </w:p>
    <w:p w:rsidR="0066072C" w:rsidRPr="00383A21" w:rsidRDefault="0066072C" w:rsidP="0066072C">
      <w:pPr>
        <w:spacing w:line="560" w:lineRule="exact"/>
        <w:ind w:firstLine="643"/>
        <w:jc w:val="center"/>
        <w:rPr>
          <w:rFonts w:ascii="仿宋_GB2312" w:eastAsia="仿宋_GB2312"/>
          <w:color w:val="000000"/>
          <w:sz w:val="32"/>
          <w:szCs w:val="32"/>
        </w:rPr>
      </w:pPr>
    </w:p>
    <w:p w:rsidR="0066072C" w:rsidRPr="00685EDD" w:rsidRDefault="0066072C" w:rsidP="0066072C">
      <w:pPr>
        <w:spacing w:line="560" w:lineRule="exact"/>
        <w:ind w:firstLine="643"/>
        <w:jc w:val="center"/>
        <w:rPr>
          <w:rFonts w:ascii="黑体" w:eastAsia="黑体" w:hAnsi="黑体"/>
          <w:color w:val="000000"/>
          <w:sz w:val="32"/>
          <w:szCs w:val="32"/>
        </w:rPr>
      </w:pPr>
      <w:r w:rsidRPr="00685EDD">
        <w:rPr>
          <w:rFonts w:ascii="黑体" w:eastAsia="黑体" w:hAnsi="黑体" w:hint="eastAsia"/>
          <w:color w:val="000000"/>
          <w:sz w:val="32"/>
          <w:szCs w:val="32"/>
        </w:rPr>
        <w:t>第四章</w:t>
      </w:r>
      <w:r w:rsidRPr="00685EDD">
        <w:rPr>
          <w:rFonts w:ascii="黑体" w:eastAsia="黑体" w:hAnsi="黑体"/>
          <w:color w:val="000000"/>
          <w:sz w:val="32"/>
          <w:szCs w:val="32"/>
        </w:rPr>
        <w:t xml:space="preserve">  </w:t>
      </w:r>
      <w:r w:rsidRPr="00685EDD">
        <w:rPr>
          <w:rFonts w:ascii="黑体" w:eastAsia="黑体" w:hAnsi="黑体" w:hint="eastAsia"/>
          <w:color w:val="000000"/>
          <w:sz w:val="32"/>
          <w:szCs w:val="32"/>
        </w:rPr>
        <w:t>审批服务</w:t>
      </w:r>
    </w:p>
    <w:p w:rsidR="0066072C" w:rsidRPr="00685EDD" w:rsidRDefault="0066072C" w:rsidP="0066072C">
      <w:pPr>
        <w:spacing w:line="560" w:lineRule="exact"/>
        <w:ind w:firstLine="643"/>
        <w:jc w:val="center"/>
        <w:rPr>
          <w:rFonts w:ascii="黑体" w:eastAsia="黑体" w:hAnsi="黑体"/>
          <w:color w:val="000000"/>
          <w:sz w:val="32"/>
          <w:szCs w:val="32"/>
        </w:rPr>
      </w:pPr>
    </w:p>
    <w:p w:rsidR="0066072C" w:rsidRPr="00685EDD" w:rsidRDefault="0066072C" w:rsidP="0066072C">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t>第十二条（审批服务）</w:t>
      </w:r>
    </w:p>
    <w:p w:rsidR="0066072C" w:rsidRDefault="0066072C" w:rsidP="0066072C">
      <w:pPr>
        <w:widowControl/>
        <w:spacing w:line="560" w:lineRule="exact"/>
        <w:ind w:firstLineChars="200" w:firstLine="640"/>
        <w:rPr>
          <w:rFonts w:ascii="仿宋_GB2312" w:eastAsia="仿宋_GB2312" w:hAnsi="仿宋"/>
          <w:color w:val="000000"/>
          <w:sz w:val="32"/>
          <w:szCs w:val="32"/>
        </w:rPr>
      </w:pPr>
      <w:r w:rsidRPr="00685EDD">
        <w:rPr>
          <w:rFonts w:ascii="仿宋_GB2312" w:eastAsia="仿宋_GB2312" w:hAnsi="仿宋" w:hint="eastAsia"/>
          <w:color w:val="000000"/>
          <w:sz w:val="32"/>
          <w:szCs w:val="32"/>
        </w:rPr>
        <w:t>经开区就项目</w:t>
      </w:r>
      <w:r w:rsidRPr="00685EDD">
        <w:rPr>
          <w:rFonts w:ascii="仿宋_GB2312" w:eastAsia="仿宋_GB2312" w:hAnsi="微软雅黑" w:cs="宋体" w:hint="eastAsia"/>
          <w:color w:val="000000"/>
          <w:kern w:val="0"/>
          <w:sz w:val="32"/>
          <w:szCs w:val="32"/>
        </w:rPr>
        <w:t>提前开展审批服务</w:t>
      </w:r>
      <w:r w:rsidRPr="00685EDD">
        <w:rPr>
          <w:rFonts w:ascii="仿宋_GB2312" w:eastAsia="仿宋_GB2312"/>
          <w:color w:val="000000"/>
          <w:sz w:val="32"/>
          <w:szCs w:val="32"/>
        </w:rPr>
        <w:t>，</w:t>
      </w:r>
      <w:r w:rsidRPr="00685EDD">
        <w:rPr>
          <w:rFonts w:ascii="仿宋_GB2312" w:eastAsia="仿宋_GB2312" w:hAnsi="仿宋" w:hint="eastAsia"/>
          <w:color w:val="000000"/>
          <w:sz w:val="32"/>
          <w:szCs w:val="32"/>
        </w:rPr>
        <w:t>对产业投资项目分类</w:t>
      </w:r>
      <w:r w:rsidRPr="00685EDD">
        <w:rPr>
          <w:rFonts w:eastAsia="仿宋_GB2312" w:hint="eastAsia"/>
          <w:color w:val="000000"/>
          <w:sz w:val="32"/>
          <w:szCs w:val="32"/>
        </w:rPr>
        <w:t>定制审批流程</w:t>
      </w:r>
      <w:r w:rsidRPr="00685EDD">
        <w:rPr>
          <w:rFonts w:ascii="仿宋_GB2312" w:eastAsia="仿宋_GB2312" w:hint="eastAsia"/>
          <w:color w:val="000000"/>
          <w:sz w:val="32"/>
          <w:szCs w:val="32"/>
        </w:rPr>
        <w:t>。根据项目实际情况，</w:t>
      </w:r>
      <w:r w:rsidRPr="00685EDD">
        <w:rPr>
          <w:rFonts w:ascii="仿宋_GB2312" w:eastAsia="仿宋_GB2312" w:hAnsi="仿宋" w:hint="eastAsia"/>
          <w:color w:val="000000"/>
          <w:sz w:val="32"/>
          <w:szCs w:val="32"/>
        </w:rPr>
        <w:t>提供精准化的技术咨询、集中辅导、代办帮办等服务，确保项目</w:t>
      </w:r>
      <w:r w:rsidR="00F229CD">
        <w:rPr>
          <w:rFonts w:ascii="仿宋_GB2312" w:eastAsia="仿宋_GB2312" w:hAnsi="仿宋" w:hint="eastAsia"/>
          <w:color w:val="000000"/>
          <w:sz w:val="32"/>
          <w:szCs w:val="32"/>
        </w:rPr>
        <w:t>高效</w:t>
      </w:r>
      <w:r w:rsidRPr="00685EDD">
        <w:rPr>
          <w:rFonts w:ascii="仿宋_GB2312" w:eastAsia="仿宋_GB2312" w:hAnsi="仿宋" w:hint="eastAsia"/>
          <w:color w:val="000000"/>
          <w:sz w:val="32"/>
          <w:szCs w:val="32"/>
        </w:rPr>
        <w:t>落地。</w:t>
      </w:r>
    </w:p>
    <w:p w:rsidR="0066072C" w:rsidRPr="00685EDD" w:rsidRDefault="0066072C" w:rsidP="0066072C">
      <w:pPr>
        <w:widowControl/>
        <w:spacing w:line="560" w:lineRule="exact"/>
        <w:ind w:firstLineChars="200" w:firstLine="640"/>
        <w:rPr>
          <w:rFonts w:ascii="仿宋_GB2312" w:eastAsia="仿宋_GB2312" w:hAnsi="仿宋"/>
          <w:color w:val="000000"/>
          <w:sz w:val="32"/>
          <w:szCs w:val="32"/>
        </w:rPr>
      </w:pPr>
    </w:p>
    <w:p w:rsidR="0066072C" w:rsidRPr="00685EDD" w:rsidRDefault="0066072C" w:rsidP="0066072C">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lastRenderedPageBreak/>
        <w:t>第十三条（告知承诺审批）</w:t>
      </w:r>
    </w:p>
    <w:p w:rsidR="0066072C" w:rsidRPr="00685EDD" w:rsidRDefault="0066072C" w:rsidP="0066072C">
      <w:pPr>
        <w:spacing w:line="560" w:lineRule="exact"/>
        <w:ind w:firstLine="645"/>
        <w:rPr>
          <w:rFonts w:ascii="Times New Roman" w:eastAsia="仿宋_GB2312" w:hAnsi="Times New Roman"/>
          <w:color w:val="000000"/>
          <w:sz w:val="32"/>
          <w:szCs w:val="32"/>
        </w:rPr>
      </w:pPr>
      <w:r w:rsidRPr="00685EDD">
        <w:rPr>
          <w:rFonts w:ascii="Times New Roman" w:eastAsia="仿宋_GB2312" w:hAnsi="Times New Roman"/>
          <w:color w:val="000000"/>
          <w:sz w:val="32"/>
          <w:szCs w:val="32"/>
        </w:rPr>
        <w:t>对符合经开区告知承诺制改革试点的审批事项，</w:t>
      </w:r>
      <w:r w:rsidRPr="00685EDD">
        <w:rPr>
          <w:rFonts w:ascii="Times New Roman" w:eastAsia="仿宋_GB2312" w:hAnsi="Times New Roman" w:hint="eastAsia"/>
          <w:color w:val="000000"/>
          <w:sz w:val="32"/>
          <w:szCs w:val="32"/>
        </w:rPr>
        <w:t>项目主体可以自主选择按照告知承诺制相关制度和程序办理审批手续。</w:t>
      </w:r>
      <w:r w:rsidRPr="00685EDD">
        <w:rPr>
          <w:rFonts w:ascii="仿宋_GB2312" w:eastAsia="仿宋_GB2312" w:hAnsi="楷体" w:hint="eastAsia"/>
          <w:color w:val="000000"/>
          <w:sz w:val="32"/>
          <w:szCs w:val="32"/>
        </w:rPr>
        <w:t>具体要求按照《</w:t>
      </w:r>
      <w:r w:rsidRPr="00685EDD">
        <w:rPr>
          <w:rFonts w:ascii="Times New Roman" w:eastAsia="仿宋_GB2312" w:hAnsi="Times New Roman" w:hint="eastAsia"/>
          <w:color w:val="000000"/>
          <w:sz w:val="32"/>
          <w:szCs w:val="32"/>
        </w:rPr>
        <w:t>北京经济技术开发区企业投资项目承诺制改革试点工作方案</w:t>
      </w:r>
      <w:r w:rsidRPr="00685EDD">
        <w:rPr>
          <w:rFonts w:ascii="仿宋_GB2312" w:eastAsia="仿宋_GB2312" w:hAnsi="楷体" w:hint="eastAsia"/>
          <w:color w:val="000000"/>
          <w:sz w:val="32"/>
          <w:szCs w:val="32"/>
        </w:rPr>
        <w:t>》和</w:t>
      </w:r>
      <w:r w:rsidRPr="00685EDD">
        <w:rPr>
          <w:rFonts w:ascii="Times New Roman" w:eastAsia="仿宋_GB2312" w:hAnsi="Times New Roman" w:hint="eastAsia"/>
          <w:color w:val="000000"/>
          <w:sz w:val="32"/>
          <w:szCs w:val="32"/>
        </w:rPr>
        <w:t>《北京经济技术开发区管理委员会关于开展依申请政务服务事项告知承诺审批改革试点工作的实施意见》</w:t>
      </w:r>
      <w:r w:rsidRPr="00685EDD">
        <w:rPr>
          <w:rFonts w:ascii="仿宋_GB2312" w:eastAsia="仿宋_GB2312" w:hAnsi="楷体" w:hint="eastAsia"/>
          <w:color w:val="000000"/>
          <w:sz w:val="32"/>
          <w:szCs w:val="32"/>
        </w:rPr>
        <w:t>相关规定执行。</w:t>
      </w:r>
    </w:p>
    <w:p w:rsidR="0066072C" w:rsidRPr="00685EDD" w:rsidRDefault="0066072C" w:rsidP="0066072C">
      <w:pPr>
        <w:widowControl/>
        <w:spacing w:line="560" w:lineRule="exact"/>
        <w:ind w:firstLine="645"/>
        <w:rPr>
          <w:rFonts w:ascii="仿宋_GB2312" w:eastAsia="仿宋_GB2312"/>
          <w:b/>
          <w:color w:val="000000"/>
          <w:sz w:val="36"/>
          <w:szCs w:val="32"/>
        </w:rPr>
      </w:pPr>
    </w:p>
    <w:p w:rsidR="0066072C" w:rsidRPr="00685EDD" w:rsidRDefault="0066072C" w:rsidP="0066072C">
      <w:pPr>
        <w:spacing w:line="560" w:lineRule="exact"/>
        <w:ind w:firstLine="643"/>
        <w:jc w:val="center"/>
        <w:rPr>
          <w:rFonts w:ascii="黑体" w:eastAsia="黑体" w:hAnsi="黑体"/>
          <w:color w:val="000000"/>
          <w:sz w:val="32"/>
          <w:szCs w:val="32"/>
        </w:rPr>
      </w:pPr>
      <w:r w:rsidRPr="00685EDD">
        <w:rPr>
          <w:rFonts w:ascii="黑体" w:eastAsia="黑体" w:hAnsi="黑体" w:hint="eastAsia"/>
          <w:color w:val="000000"/>
          <w:sz w:val="32"/>
          <w:szCs w:val="32"/>
        </w:rPr>
        <w:t>第五章</w:t>
      </w:r>
      <w:r w:rsidRPr="00685EDD">
        <w:rPr>
          <w:rFonts w:ascii="黑体" w:eastAsia="黑体" w:hAnsi="黑体"/>
          <w:color w:val="000000"/>
          <w:sz w:val="32"/>
          <w:szCs w:val="32"/>
        </w:rPr>
        <w:t xml:space="preserve">  </w:t>
      </w:r>
      <w:r w:rsidRPr="00685EDD">
        <w:rPr>
          <w:rFonts w:ascii="黑体" w:eastAsia="黑体" w:hAnsi="黑体" w:hint="eastAsia"/>
          <w:color w:val="000000"/>
          <w:sz w:val="32"/>
          <w:szCs w:val="32"/>
        </w:rPr>
        <w:t>过程监管</w:t>
      </w:r>
    </w:p>
    <w:p w:rsidR="0066072C" w:rsidRPr="00685EDD" w:rsidRDefault="0066072C" w:rsidP="0066072C">
      <w:pPr>
        <w:widowControl/>
        <w:spacing w:line="560" w:lineRule="exact"/>
        <w:ind w:firstLineChars="200" w:firstLine="723"/>
        <w:jc w:val="center"/>
        <w:rPr>
          <w:rFonts w:ascii="仿宋_GB2312" w:eastAsia="仿宋_GB2312"/>
          <w:b/>
          <w:color w:val="000000"/>
          <w:sz w:val="36"/>
          <w:szCs w:val="32"/>
        </w:rPr>
      </w:pPr>
    </w:p>
    <w:p w:rsidR="0066072C" w:rsidRPr="00685EDD" w:rsidRDefault="0066072C" w:rsidP="0066072C">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t>第十四条（审管执联动）</w:t>
      </w:r>
    </w:p>
    <w:p w:rsidR="0066072C" w:rsidRPr="00685EDD" w:rsidRDefault="0066072C" w:rsidP="0066072C">
      <w:pPr>
        <w:spacing w:line="560" w:lineRule="exact"/>
        <w:ind w:firstLine="645"/>
        <w:rPr>
          <w:rFonts w:ascii="仿宋_GB2312" w:eastAsia="仿宋_GB2312"/>
          <w:color w:val="000000"/>
          <w:sz w:val="32"/>
          <w:szCs w:val="32"/>
        </w:rPr>
      </w:pPr>
      <w:r w:rsidRPr="00685EDD">
        <w:rPr>
          <w:rFonts w:ascii="仿宋_GB2312" w:eastAsia="仿宋_GB2312" w:hint="eastAsia"/>
          <w:color w:val="000000"/>
          <w:sz w:val="32"/>
          <w:szCs w:val="32"/>
        </w:rPr>
        <w:t>按照“谁主管</w:t>
      </w:r>
      <w:r>
        <w:rPr>
          <w:rFonts w:ascii="仿宋_GB2312" w:eastAsia="仿宋_GB2312" w:hint="eastAsia"/>
          <w:color w:val="000000"/>
          <w:sz w:val="32"/>
          <w:szCs w:val="32"/>
        </w:rPr>
        <w:t>、</w:t>
      </w:r>
      <w:r w:rsidRPr="00685EDD">
        <w:rPr>
          <w:rFonts w:ascii="仿宋_GB2312" w:eastAsia="仿宋_GB2312" w:hint="eastAsia"/>
          <w:color w:val="000000"/>
          <w:sz w:val="32"/>
          <w:szCs w:val="32"/>
        </w:rPr>
        <w:t>谁监管”的原则，经开区建立覆盖项目准入、审批服务、项目建设、竣工验收、达产复核、股权变更、信用监管等协同服务机制，实现覆盖产业投资项目全生命周期的闭环管理。</w:t>
      </w:r>
    </w:p>
    <w:p w:rsidR="0066072C" w:rsidRPr="00BE3355" w:rsidRDefault="0066072C" w:rsidP="0066072C">
      <w:pPr>
        <w:widowControl/>
        <w:spacing w:line="560" w:lineRule="exact"/>
        <w:ind w:firstLineChars="200" w:firstLine="643"/>
        <w:rPr>
          <w:rFonts w:ascii="仿宋_GB2312" w:eastAsia="仿宋_GB2312"/>
          <w:b/>
          <w:color w:val="000000"/>
          <w:sz w:val="32"/>
          <w:szCs w:val="32"/>
        </w:rPr>
      </w:pPr>
      <w:r w:rsidRPr="00BE3355">
        <w:rPr>
          <w:rFonts w:ascii="仿宋_GB2312" w:eastAsia="仿宋_GB2312" w:hint="eastAsia"/>
          <w:b/>
          <w:color w:val="000000"/>
          <w:sz w:val="32"/>
          <w:szCs w:val="32"/>
        </w:rPr>
        <w:t>第十五条（技术服务评价）</w:t>
      </w:r>
    </w:p>
    <w:p w:rsidR="0066072C" w:rsidRPr="00BE3355" w:rsidRDefault="00CA08E1" w:rsidP="0066072C">
      <w:pPr>
        <w:widowControl/>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项目开工前，</w:t>
      </w:r>
      <w:r w:rsidR="006B4349" w:rsidRPr="006B4349">
        <w:rPr>
          <w:rFonts w:ascii="仿宋_GB2312" w:eastAsia="仿宋_GB2312" w:hint="eastAsia"/>
          <w:color w:val="000000"/>
          <w:sz w:val="32"/>
          <w:szCs w:val="32"/>
        </w:rPr>
        <w:t>对建设单位自主选择的技术编制等第三方工程参建单位，开展服务质量和绩效评价，引导建设单位科学选择第三方技术服务单位，提高技术服务质量。</w:t>
      </w:r>
    </w:p>
    <w:p w:rsidR="0066072C" w:rsidRPr="00685EDD" w:rsidRDefault="00CA08E1" w:rsidP="0066072C">
      <w:pPr>
        <w:widowControl/>
        <w:spacing w:line="560" w:lineRule="exact"/>
        <w:ind w:firstLineChars="200" w:firstLine="643"/>
        <w:rPr>
          <w:rFonts w:ascii="仿宋_GB2312" w:eastAsia="仿宋_GB2312"/>
          <w:b/>
          <w:color w:val="000000"/>
          <w:sz w:val="32"/>
          <w:szCs w:val="32"/>
        </w:rPr>
      </w:pPr>
      <w:r>
        <w:rPr>
          <w:rFonts w:ascii="仿宋_GB2312" w:eastAsia="仿宋_GB2312" w:hint="eastAsia"/>
          <w:b/>
          <w:color w:val="000000"/>
          <w:sz w:val="32"/>
          <w:szCs w:val="32"/>
        </w:rPr>
        <w:t>第十六条（建设期监管）</w:t>
      </w:r>
    </w:p>
    <w:p w:rsidR="001D6A0F" w:rsidRDefault="0066072C" w:rsidP="001D6A0F">
      <w:pPr>
        <w:widowControl/>
        <w:shd w:val="clear" w:color="auto" w:fill="FFFFFF"/>
        <w:spacing w:line="560" w:lineRule="exact"/>
        <w:ind w:firstLineChars="200" w:firstLine="640"/>
        <w:jc w:val="left"/>
        <w:rPr>
          <w:rFonts w:ascii="仿宋_GB2312" w:eastAsia="仿宋_GB2312" w:hint="eastAsia"/>
          <w:b/>
          <w:color w:val="000000"/>
          <w:sz w:val="32"/>
          <w:szCs w:val="32"/>
        </w:rPr>
      </w:pPr>
      <w:r w:rsidRPr="00685EDD">
        <w:rPr>
          <w:rFonts w:ascii="仿宋_GB2312" w:eastAsia="仿宋_GB2312" w:hint="eastAsia"/>
          <w:color w:val="000000"/>
          <w:sz w:val="32"/>
          <w:szCs w:val="32"/>
        </w:rPr>
        <w:t>项目开工后，经开区相关行业主管部门按照法律法规、国家标准、行业标准和地方标准实施监管，会同属地相关部门重点加</w:t>
      </w:r>
      <w:r w:rsidRPr="00685EDD">
        <w:rPr>
          <w:rFonts w:ascii="仿宋_GB2312" w:eastAsia="仿宋_GB2312" w:hint="eastAsia"/>
          <w:color w:val="000000"/>
          <w:sz w:val="32"/>
          <w:szCs w:val="32"/>
        </w:rPr>
        <w:lastRenderedPageBreak/>
        <w:t>强对工程地基基础、主体结构等部位和竣工验收等环节的监督检查。按季度对区内工程项目进行质量监督抽查，建立工程项目质量监管档案，对项目参建单位的违规处理纳入信用管理。</w:t>
      </w:r>
    </w:p>
    <w:p w:rsidR="0066072C" w:rsidRPr="00685EDD" w:rsidRDefault="0066072C" w:rsidP="0066072C">
      <w:pPr>
        <w:widowControl/>
        <w:shd w:val="clear" w:color="auto" w:fill="FFFFFF"/>
        <w:spacing w:line="560" w:lineRule="exact"/>
        <w:ind w:firstLineChars="200" w:firstLine="643"/>
        <w:jc w:val="left"/>
        <w:rPr>
          <w:rFonts w:ascii="仿宋_GB2312" w:eastAsia="仿宋_GB2312"/>
          <w:b/>
          <w:color w:val="000000"/>
          <w:sz w:val="32"/>
          <w:szCs w:val="32"/>
        </w:rPr>
      </w:pPr>
      <w:r w:rsidRPr="00685EDD">
        <w:rPr>
          <w:rFonts w:ascii="仿宋_GB2312" w:eastAsia="仿宋_GB2312" w:hint="eastAsia"/>
          <w:b/>
          <w:color w:val="000000"/>
          <w:sz w:val="32"/>
          <w:szCs w:val="32"/>
        </w:rPr>
        <w:t>第十七条（竣工验收）</w:t>
      </w:r>
    </w:p>
    <w:p w:rsidR="0066072C" w:rsidRPr="00685EDD" w:rsidRDefault="0066072C" w:rsidP="0066072C">
      <w:pPr>
        <w:spacing w:line="560" w:lineRule="exact"/>
        <w:ind w:firstLine="645"/>
        <w:rPr>
          <w:rFonts w:ascii="仿宋_GB2312" w:eastAsia="仿宋_GB2312"/>
          <w:color w:val="000000"/>
          <w:sz w:val="32"/>
          <w:szCs w:val="32"/>
        </w:rPr>
      </w:pPr>
      <w:r w:rsidRPr="00685EDD">
        <w:rPr>
          <w:rFonts w:ascii="仿宋_GB2312" w:eastAsia="仿宋_GB2312" w:hint="eastAsia"/>
          <w:color w:val="000000"/>
          <w:sz w:val="32"/>
          <w:szCs w:val="32"/>
        </w:rPr>
        <w:t>项目竣工后，相关行业主管部门依法开展规划核验、</w:t>
      </w:r>
      <w:r w:rsidRPr="00685EDD">
        <w:rPr>
          <w:rFonts w:ascii="仿宋_GB2312" w:eastAsia="仿宋_GB2312" w:hAnsi="仿宋" w:hint="eastAsia"/>
          <w:color w:val="000000"/>
          <w:sz w:val="32"/>
          <w:szCs w:val="32"/>
        </w:rPr>
        <w:t>消防验收等工作</w:t>
      </w:r>
      <w:r w:rsidRPr="00685EDD">
        <w:rPr>
          <w:rFonts w:ascii="仿宋_GB2312" w:eastAsia="仿宋_GB2312" w:hint="eastAsia"/>
          <w:color w:val="000000"/>
          <w:sz w:val="32"/>
          <w:szCs w:val="32"/>
        </w:rPr>
        <w:t>。企业未</w:t>
      </w:r>
      <w:r w:rsidRPr="00685EDD">
        <w:rPr>
          <w:rFonts w:ascii="仿宋_GB2312" w:eastAsia="仿宋_GB2312"/>
          <w:color w:val="000000"/>
          <w:sz w:val="32"/>
          <w:szCs w:val="32"/>
        </w:rPr>
        <w:t>通过竣工验收的，</w:t>
      </w:r>
      <w:r w:rsidRPr="00685EDD">
        <w:rPr>
          <w:rFonts w:ascii="仿宋_GB2312" w:eastAsia="仿宋_GB2312" w:hint="eastAsia"/>
          <w:color w:val="000000"/>
          <w:sz w:val="32"/>
          <w:szCs w:val="32"/>
        </w:rPr>
        <w:t>相关行业主管部门</w:t>
      </w:r>
      <w:r w:rsidRPr="00685EDD">
        <w:rPr>
          <w:rFonts w:ascii="仿宋_GB2312" w:eastAsia="仿宋_GB2312"/>
          <w:color w:val="000000"/>
          <w:sz w:val="32"/>
          <w:szCs w:val="32"/>
        </w:rPr>
        <w:t>责令其限期整改</w:t>
      </w:r>
      <w:r w:rsidRPr="00685EDD">
        <w:rPr>
          <w:rFonts w:ascii="仿宋_GB2312" w:eastAsia="仿宋_GB2312" w:hint="eastAsia"/>
          <w:color w:val="000000"/>
          <w:sz w:val="32"/>
          <w:szCs w:val="32"/>
        </w:rPr>
        <w:t>，经整改仍不符合要求的，竣工验收不予通过。</w:t>
      </w:r>
    </w:p>
    <w:p w:rsidR="0066072C" w:rsidRPr="00685EDD" w:rsidRDefault="0066072C" w:rsidP="0066072C">
      <w:pPr>
        <w:spacing w:line="560" w:lineRule="exact"/>
        <w:ind w:firstLine="645"/>
        <w:rPr>
          <w:rFonts w:ascii="仿宋_GB2312" w:eastAsia="仿宋_GB2312"/>
          <w:color w:val="000000"/>
          <w:sz w:val="32"/>
          <w:szCs w:val="32"/>
        </w:rPr>
      </w:pPr>
      <w:r w:rsidRPr="00685EDD">
        <w:rPr>
          <w:rFonts w:ascii="仿宋_GB2312" w:eastAsia="仿宋_GB2312" w:hint="eastAsia"/>
          <w:color w:val="000000"/>
          <w:sz w:val="32"/>
          <w:szCs w:val="32"/>
        </w:rPr>
        <w:t>建设单位组织勘察、设计、施工、监理等单位进行人防工程竣工验收以及建设工程质量竣工验收，相关行业主管部门应当对验收环节进行监督，对发现建设单位在竣工验收过程中有违反国家有关建设工程质量管理规定行为的，责令停止使用，重新组织竣工验收。</w:t>
      </w:r>
    </w:p>
    <w:p w:rsidR="0066072C" w:rsidRPr="00685EDD" w:rsidRDefault="0066072C" w:rsidP="0066072C">
      <w:pPr>
        <w:spacing w:line="560" w:lineRule="exact"/>
        <w:ind w:firstLine="645"/>
        <w:rPr>
          <w:rFonts w:ascii="仿宋_GB2312" w:eastAsia="仿宋_GB2312"/>
          <w:b/>
          <w:color w:val="000000"/>
          <w:sz w:val="32"/>
          <w:szCs w:val="32"/>
        </w:rPr>
      </w:pPr>
      <w:r w:rsidRPr="00685EDD">
        <w:rPr>
          <w:rFonts w:ascii="仿宋_GB2312" w:eastAsia="仿宋_GB2312" w:hint="eastAsia"/>
          <w:b/>
          <w:color w:val="000000"/>
          <w:sz w:val="32"/>
          <w:szCs w:val="32"/>
        </w:rPr>
        <w:t>第十八条 （违约管理）</w:t>
      </w:r>
    </w:p>
    <w:p w:rsidR="0066072C" w:rsidRPr="00685EDD" w:rsidRDefault="0066072C" w:rsidP="0066072C">
      <w:pPr>
        <w:spacing w:line="560" w:lineRule="exact"/>
        <w:ind w:firstLine="645"/>
        <w:rPr>
          <w:rFonts w:ascii="仿宋_GB2312" w:eastAsia="仿宋_GB2312"/>
          <w:color w:val="000000"/>
          <w:sz w:val="32"/>
          <w:szCs w:val="32"/>
        </w:rPr>
      </w:pPr>
      <w:r w:rsidRPr="00685EDD">
        <w:rPr>
          <w:rFonts w:ascii="仿宋_GB2312" w:eastAsia="仿宋_GB2312" w:hint="eastAsia"/>
          <w:color w:val="000000"/>
          <w:sz w:val="32"/>
          <w:szCs w:val="32"/>
        </w:rPr>
        <w:t>经开区建立产业项目促进机制，定期跟踪调度项目进展和达产复核情况。</w:t>
      </w:r>
    </w:p>
    <w:p w:rsidR="0066072C" w:rsidRPr="00685EDD" w:rsidRDefault="0066072C" w:rsidP="0066072C">
      <w:pPr>
        <w:spacing w:line="560" w:lineRule="exact"/>
        <w:ind w:firstLine="645"/>
        <w:rPr>
          <w:rFonts w:ascii="仿宋_GB2312" w:eastAsia="仿宋_GB2312"/>
          <w:color w:val="000000"/>
          <w:sz w:val="32"/>
          <w:szCs w:val="32"/>
        </w:rPr>
      </w:pPr>
      <w:r w:rsidRPr="00685EDD">
        <w:rPr>
          <w:rFonts w:ascii="仿宋_GB2312" w:eastAsia="仿宋_GB2312" w:hint="eastAsia"/>
          <w:color w:val="000000"/>
          <w:sz w:val="32"/>
          <w:szCs w:val="32"/>
        </w:rPr>
        <w:t>因项目方原因未按期组织竣工验收，或未按约定的建设进度竣工的，按照《入区协议》和《出让合同》相关约定执行。</w:t>
      </w:r>
    </w:p>
    <w:p w:rsidR="0066072C" w:rsidRPr="00685EDD" w:rsidRDefault="0066072C" w:rsidP="0066072C">
      <w:pPr>
        <w:widowControl/>
        <w:spacing w:line="560" w:lineRule="exact"/>
        <w:ind w:firstLineChars="200" w:firstLine="640"/>
        <w:rPr>
          <w:rFonts w:ascii="仿宋_GB2312" w:eastAsia="仿宋_GB2312"/>
          <w:color w:val="000000"/>
          <w:sz w:val="32"/>
          <w:szCs w:val="32"/>
        </w:rPr>
      </w:pPr>
      <w:r w:rsidRPr="00685EDD">
        <w:rPr>
          <w:rFonts w:ascii="仿宋_GB2312" w:eastAsia="仿宋_GB2312" w:hint="eastAsia"/>
          <w:color w:val="000000"/>
          <w:sz w:val="32"/>
          <w:szCs w:val="32"/>
        </w:rPr>
        <w:t>产业项目达产复核不合格的，若达产年产值或税收达到签约时经开区准入标准及以上的，签订补充协议另行约定；若达产年产值和税收均未达到签约时经开区准入标准的，按入区协议约定执行。</w:t>
      </w:r>
    </w:p>
    <w:p w:rsidR="001D6A0F" w:rsidRDefault="001D6A0F" w:rsidP="0066072C">
      <w:pPr>
        <w:spacing w:line="560" w:lineRule="exact"/>
        <w:ind w:firstLine="645"/>
        <w:rPr>
          <w:rFonts w:ascii="仿宋_GB2312" w:eastAsia="仿宋_GB2312" w:hint="eastAsia"/>
          <w:b/>
          <w:color w:val="000000"/>
          <w:sz w:val="32"/>
          <w:szCs w:val="32"/>
        </w:rPr>
      </w:pPr>
    </w:p>
    <w:p w:rsidR="0066072C" w:rsidRPr="00685EDD" w:rsidRDefault="0066072C" w:rsidP="0066072C">
      <w:pPr>
        <w:spacing w:line="560" w:lineRule="exact"/>
        <w:ind w:firstLine="645"/>
        <w:rPr>
          <w:rFonts w:ascii="仿宋_GB2312" w:eastAsia="仿宋_GB2312"/>
          <w:b/>
          <w:color w:val="000000"/>
          <w:sz w:val="32"/>
          <w:szCs w:val="32"/>
        </w:rPr>
      </w:pPr>
      <w:r w:rsidRPr="00685EDD">
        <w:rPr>
          <w:rFonts w:ascii="仿宋_GB2312" w:eastAsia="仿宋_GB2312" w:hint="eastAsia"/>
          <w:b/>
          <w:color w:val="000000"/>
          <w:sz w:val="32"/>
          <w:szCs w:val="32"/>
        </w:rPr>
        <w:lastRenderedPageBreak/>
        <w:t>第十九条（企业综合评价）</w:t>
      </w:r>
    </w:p>
    <w:p w:rsidR="0066072C" w:rsidRPr="00685EDD" w:rsidRDefault="0066072C" w:rsidP="0066072C">
      <w:pPr>
        <w:widowControl/>
        <w:spacing w:line="560" w:lineRule="exact"/>
        <w:ind w:firstLineChars="200" w:firstLine="640"/>
        <w:rPr>
          <w:rFonts w:ascii="仿宋_GB2312" w:eastAsia="仿宋_GB2312"/>
          <w:color w:val="000000"/>
          <w:sz w:val="32"/>
          <w:szCs w:val="32"/>
        </w:rPr>
      </w:pPr>
      <w:r w:rsidRPr="00685EDD">
        <w:rPr>
          <w:rFonts w:eastAsia="仿宋_GB2312" w:hint="eastAsia"/>
          <w:color w:val="000000"/>
          <w:sz w:val="32"/>
          <w:szCs w:val="32"/>
        </w:rPr>
        <w:t>经开区建立企业综合评价制度，</w:t>
      </w:r>
      <w:r>
        <w:rPr>
          <w:rFonts w:eastAsia="仿宋_GB2312" w:hint="eastAsia"/>
          <w:color w:val="000000"/>
          <w:sz w:val="32"/>
          <w:szCs w:val="32"/>
        </w:rPr>
        <w:t>对通过达产</w:t>
      </w:r>
      <w:r w:rsidRPr="00685EDD">
        <w:rPr>
          <w:rFonts w:eastAsia="仿宋_GB2312" w:hint="eastAsia"/>
          <w:color w:val="000000"/>
          <w:sz w:val="32"/>
          <w:szCs w:val="32"/>
        </w:rPr>
        <w:t>复核</w:t>
      </w:r>
      <w:r>
        <w:rPr>
          <w:rFonts w:eastAsia="仿宋_GB2312" w:hint="eastAsia"/>
          <w:color w:val="000000"/>
          <w:sz w:val="32"/>
          <w:szCs w:val="32"/>
        </w:rPr>
        <w:t>的企业，</w:t>
      </w:r>
      <w:r w:rsidR="009C70FE">
        <w:rPr>
          <w:rFonts w:eastAsia="仿宋_GB2312" w:hint="eastAsia"/>
          <w:sz w:val="32"/>
          <w:szCs w:val="32"/>
        </w:rPr>
        <w:t>按照产值、税收、研发投入等指标进行</w:t>
      </w:r>
      <w:r w:rsidR="009C70FE" w:rsidRPr="00685EDD">
        <w:rPr>
          <w:rFonts w:eastAsia="仿宋_GB2312" w:hint="eastAsia"/>
          <w:sz w:val="32"/>
          <w:szCs w:val="32"/>
        </w:rPr>
        <w:t>综合评价</w:t>
      </w:r>
      <w:r w:rsidR="009C70FE">
        <w:rPr>
          <w:rFonts w:eastAsia="仿宋_GB2312" w:hint="eastAsia"/>
          <w:sz w:val="32"/>
          <w:szCs w:val="32"/>
        </w:rPr>
        <w:t>管理，实现项目全生命周期</w:t>
      </w:r>
      <w:r w:rsidR="009C70FE" w:rsidRPr="00685EDD">
        <w:rPr>
          <w:rFonts w:eastAsia="仿宋_GB2312" w:hint="eastAsia"/>
          <w:sz w:val="32"/>
          <w:szCs w:val="32"/>
        </w:rPr>
        <w:t>分类</w:t>
      </w:r>
      <w:r w:rsidR="009C70FE">
        <w:rPr>
          <w:rFonts w:eastAsia="仿宋_GB2312" w:hint="eastAsia"/>
          <w:sz w:val="32"/>
          <w:szCs w:val="32"/>
        </w:rPr>
        <w:t>管理服务</w:t>
      </w:r>
      <w:r w:rsidR="009C70FE" w:rsidRPr="00685EDD">
        <w:rPr>
          <w:rFonts w:eastAsia="仿宋_GB2312" w:hint="eastAsia"/>
          <w:sz w:val="32"/>
          <w:szCs w:val="32"/>
        </w:rPr>
        <w:t>。</w:t>
      </w:r>
      <w:r w:rsidRPr="00685EDD">
        <w:rPr>
          <w:rFonts w:eastAsia="仿宋_GB2312" w:hint="eastAsia"/>
          <w:color w:val="000000"/>
          <w:sz w:val="32"/>
          <w:szCs w:val="32"/>
        </w:rPr>
        <w:t>通过综合运用差别化政策手段，实施正向引导激励，推动资源要素向高效益、高产出、高技术、高成长性企业集聚；落实反向倒逼措施，倒</w:t>
      </w:r>
      <w:proofErr w:type="gramStart"/>
      <w:r w:rsidRPr="00685EDD">
        <w:rPr>
          <w:rFonts w:eastAsia="仿宋_GB2312" w:hint="eastAsia"/>
          <w:color w:val="000000"/>
          <w:sz w:val="32"/>
          <w:szCs w:val="32"/>
        </w:rPr>
        <w:t>逼落后</w:t>
      </w:r>
      <w:proofErr w:type="gramEnd"/>
      <w:r w:rsidRPr="00685EDD">
        <w:rPr>
          <w:rFonts w:eastAsia="仿宋_GB2312" w:hint="eastAsia"/>
          <w:color w:val="000000"/>
          <w:sz w:val="32"/>
          <w:szCs w:val="32"/>
        </w:rPr>
        <w:t>和严重过剩产能退出，促进低效企业转型升级。</w:t>
      </w:r>
    </w:p>
    <w:p w:rsidR="0066072C" w:rsidRPr="00685EDD" w:rsidRDefault="0066072C" w:rsidP="0066072C">
      <w:pPr>
        <w:widowControl/>
        <w:spacing w:line="560" w:lineRule="exact"/>
        <w:ind w:firstLineChars="200" w:firstLine="643"/>
        <w:rPr>
          <w:rFonts w:ascii="仿宋_GB2312" w:eastAsia="仿宋_GB2312" w:hAnsi="仿宋"/>
          <w:b/>
          <w:color w:val="000000"/>
          <w:sz w:val="32"/>
          <w:szCs w:val="32"/>
        </w:rPr>
      </w:pPr>
      <w:r w:rsidRPr="00685EDD">
        <w:rPr>
          <w:rFonts w:ascii="仿宋_GB2312" w:eastAsia="仿宋_GB2312" w:hint="eastAsia"/>
          <w:b/>
          <w:color w:val="000000"/>
          <w:sz w:val="32"/>
          <w:szCs w:val="32"/>
        </w:rPr>
        <w:t>第二十条（监督管理）</w:t>
      </w:r>
    </w:p>
    <w:p w:rsidR="0066072C" w:rsidRPr="00685EDD" w:rsidRDefault="0066072C" w:rsidP="0066072C">
      <w:pPr>
        <w:spacing w:line="560" w:lineRule="exact"/>
        <w:ind w:firstLineChars="200" w:firstLine="640"/>
        <w:rPr>
          <w:rFonts w:ascii="仿宋_GB2312" w:eastAsia="仿宋_GB2312"/>
          <w:color w:val="000000"/>
          <w:sz w:val="32"/>
          <w:szCs w:val="32"/>
        </w:rPr>
      </w:pPr>
      <w:r w:rsidRPr="00685EDD">
        <w:rPr>
          <w:rFonts w:ascii="仿宋_GB2312" w:eastAsia="仿宋_GB2312" w:hint="eastAsia"/>
          <w:color w:val="000000"/>
          <w:sz w:val="32"/>
          <w:szCs w:val="32"/>
        </w:rPr>
        <w:t>综合执法局和相关行业主管部门按照“双随机、双告知、双公开”原则，将企业纳入事中事后监管范围，明确监管标准、监管方式和监管措施，严肃查处违法违规行为。</w:t>
      </w:r>
    </w:p>
    <w:p w:rsidR="0066072C" w:rsidRPr="00685EDD" w:rsidRDefault="0066072C" w:rsidP="0066072C">
      <w:pPr>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t>第二十一条（城市更新）</w:t>
      </w:r>
    </w:p>
    <w:p w:rsidR="0066072C" w:rsidRPr="00685EDD" w:rsidRDefault="0066072C" w:rsidP="0066072C">
      <w:pPr>
        <w:snapToGrid w:val="0"/>
        <w:spacing w:line="560" w:lineRule="exact"/>
        <w:ind w:firstLineChars="200" w:firstLine="640"/>
        <w:rPr>
          <w:rFonts w:ascii="楷体_GB2312" w:eastAsia="楷体_GB2312"/>
          <w:color w:val="000000"/>
          <w:sz w:val="32"/>
          <w:szCs w:val="32"/>
        </w:rPr>
      </w:pPr>
      <w:r w:rsidRPr="00685EDD">
        <w:rPr>
          <w:rFonts w:ascii="仿宋_GB2312" w:eastAsia="仿宋_GB2312" w:hint="eastAsia"/>
          <w:color w:val="000000"/>
          <w:sz w:val="32"/>
          <w:szCs w:val="32"/>
        </w:rPr>
        <w:t>土地管理部门按照《北京经济技术开发区关于促进城市更新产业升级的若干措施（试行）》，对已无法满足地块使用条件的项目，纳入城市更新管理，强化土地集约利用。</w:t>
      </w:r>
    </w:p>
    <w:p w:rsidR="0066072C" w:rsidRPr="00685EDD" w:rsidRDefault="0066072C" w:rsidP="0066072C">
      <w:pPr>
        <w:spacing w:line="560" w:lineRule="exact"/>
        <w:ind w:firstLine="643"/>
        <w:jc w:val="center"/>
        <w:rPr>
          <w:rFonts w:ascii="仿宋_GB2312" w:eastAsia="仿宋_GB2312"/>
          <w:b/>
          <w:color w:val="000000"/>
          <w:sz w:val="36"/>
          <w:szCs w:val="32"/>
        </w:rPr>
      </w:pPr>
    </w:p>
    <w:p w:rsidR="0066072C" w:rsidRPr="00685EDD" w:rsidRDefault="0066072C" w:rsidP="0066072C">
      <w:pPr>
        <w:spacing w:line="560" w:lineRule="exact"/>
        <w:ind w:firstLine="643"/>
        <w:jc w:val="center"/>
        <w:rPr>
          <w:rFonts w:ascii="黑体" w:eastAsia="黑体" w:hAnsi="黑体"/>
          <w:color w:val="000000"/>
          <w:sz w:val="32"/>
          <w:szCs w:val="32"/>
        </w:rPr>
      </w:pPr>
      <w:r w:rsidRPr="00685EDD">
        <w:rPr>
          <w:rFonts w:ascii="黑体" w:eastAsia="黑体" w:hAnsi="黑体" w:hint="eastAsia"/>
          <w:color w:val="000000"/>
          <w:sz w:val="32"/>
          <w:szCs w:val="32"/>
        </w:rPr>
        <w:t>第六章</w:t>
      </w:r>
      <w:r w:rsidRPr="00685EDD">
        <w:rPr>
          <w:rFonts w:ascii="黑体" w:eastAsia="黑体" w:hAnsi="黑体"/>
          <w:color w:val="000000"/>
          <w:sz w:val="32"/>
          <w:szCs w:val="32"/>
        </w:rPr>
        <w:t xml:space="preserve">  </w:t>
      </w:r>
      <w:r w:rsidRPr="00685EDD">
        <w:rPr>
          <w:rFonts w:ascii="黑体" w:eastAsia="黑体" w:hAnsi="黑体" w:hint="eastAsia"/>
          <w:color w:val="000000"/>
          <w:sz w:val="32"/>
          <w:szCs w:val="32"/>
        </w:rPr>
        <w:t>保障机制</w:t>
      </w:r>
    </w:p>
    <w:p w:rsidR="0066072C" w:rsidRPr="00685EDD" w:rsidRDefault="0066072C" w:rsidP="0066072C">
      <w:pPr>
        <w:spacing w:line="560" w:lineRule="exact"/>
        <w:ind w:firstLine="643"/>
        <w:jc w:val="center"/>
        <w:rPr>
          <w:rFonts w:ascii="黑体" w:eastAsia="黑体" w:hAnsi="黑体"/>
          <w:color w:val="000000"/>
          <w:sz w:val="32"/>
          <w:szCs w:val="32"/>
        </w:rPr>
      </w:pPr>
    </w:p>
    <w:p w:rsidR="0066072C" w:rsidRPr="00685EDD" w:rsidRDefault="0066072C" w:rsidP="0066072C">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t>第二十二条（诚信体系建设）</w:t>
      </w:r>
    </w:p>
    <w:p w:rsidR="0066072C" w:rsidRPr="00685EDD" w:rsidRDefault="0066072C" w:rsidP="0066072C">
      <w:pPr>
        <w:widowControl/>
        <w:spacing w:line="560" w:lineRule="exact"/>
        <w:ind w:firstLineChars="200" w:firstLine="640"/>
        <w:rPr>
          <w:rFonts w:ascii="仿宋_GB2312" w:eastAsia="仿宋_GB2312"/>
          <w:color w:val="000000"/>
          <w:sz w:val="32"/>
          <w:szCs w:val="32"/>
        </w:rPr>
      </w:pPr>
      <w:r w:rsidRPr="00685EDD">
        <w:rPr>
          <w:rFonts w:ascii="仿宋_GB2312" w:eastAsia="仿宋_GB2312" w:hint="eastAsia"/>
          <w:color w:val="000000"/>
          <w:sz w:val="32"/>
          <w:szCs w:val="32"/>
        </w:rPr>
        <w:t>经开区将</w:t>
      </w:r>
      <w:r w:rsidR="0030173C">
        <w:rPr>
          <w:rFonts w:ascii="仿宋_GB2312" w:eastAsia="仿宋_GB2312" w:hint="eastAsia"/>
          <w:color w:val="000000"/>
          <w:sz w:val="32"/>
          <w:szCs w:val="32"/>
        </w:rPr>
        <w:t>产业用地标准化管理</w:t>
      </w:r>
      <w:r w:rsidRPr="00685EDD">
        <w:rPr>
          <w:rFonts w:ascii="仿宋_GB2312" w:eastAsia="仿宋_GB2312" w:hint="eastAsia"/>
          <w:color w:val="000000"/>
          <w:sz w:val="32"/>
          <w:szCs w:val="32"/>
        </w:rPr>
        <w:t>纳入企业诚信管理体系，统一对承诺行为信息和履约情况进行征集、记录、评价和应用。对守信企业，根据实际情况在实施行政许可、项目支持等方面采取激</w:t>
      </w:r>
      <w:r w:rsidRPr="00685EDD">
        <w:rPr>
          <w:rFonts w:ascii="仿宋_GB2312" w:eastAsia="仿宋_GB2312" w:hint="eastAsia"/>
          <w:color w:val="000000"/>
          <w:sz w:val="32"/>
          <w:szCs w:val="32"/>
        </w:rPr>
        <w:lastRenderedPageBreak/>
        <w:t>励措施；对违诺失信行为实施分等级管理，区分轻微失信、一般失信、严重失信。所有失信行为均记入企业经开区诚信档案，具体办法另行制定。</w:t>
      </w:r>
    </w:p>
    <w:p w:rsidR="0066072C" w:rsidRPr="00685EDD" w:rsidRDefault="0066072C" w:rsidP="0066072C">
      <w:pPr>
        <w:widowControl/>
        <w:spacing w:line="560" w:lineRule="exact"/>
        <w:ind w:firstLineChars="200" w:firstLine="643"/>
        <w:rPr>
          <w:rFonts w:ascii="仿宋_GB2312" w:eastAsia="仿宋_GB2312"/>
          <w:b/>
          <w:color w:val="000000"/>
          <w:sz w:val="32"/>
          <w:szCs w:val="32"/>
        </w:rPr>
      </w:pPr>
      <w:r w:rsidRPr="00685EDD">
        <w:rPr>
          <w:rFonts w:ascii="仿宋_GB2312" w:eastAsia="仿宋_GB2312" w:hint="eastAsia"/>
          <w:b/>
          <w:color w:val="000000"/>
          <w:sz w:val="32"/>
          <w:szCs w:val="32"/>
        </w:rPr>
        <w:t>第二十三条（失信修复机制）</w:t>
      </w:r>
    </w:p>
    <w:p w:rsidR="0066072C" w:rsidRPr="00685EDD" w:rsidRDefault="0066072C" w:rsidP="0066072C">
      <w:pPr>
        <w:spacing w:line="560" w:lineRule="exact"/>
        <w:ind w:firstLine="643"/>
        <w:rPr>
          <w:rFonts w:ascii="仿宋_GB2312" w:eastAsia="仿宋_GB2312"/>
          <w:color w:val="000000"/>
          <w:sz w:val="32"/>
          <w:szCs w:val="32"/>
        </w:rPr>
      </w:pPr>
      <w:r w:rsidRPr="00685EDD">
        <w:rPr>
          <w:rFonts w:ascii="仿宋_GB2312" w:eastAsia="仿宋_GB2312" w:hint="eastAsia"/>
          <w:color w:val="000000"/>
          <w:sz w:val="32"/>
          <w:szCs w:val="32"/>
        </w:rPr>
        <w:t>经开区建立失信修复机制，明确修复渠道、修复方式、修复期限和修复程序等内容。失信行政相对人按照规定程序完成信用修复的，停止失信公示，移出联合惩戒目录，修复信息归集至市级信用信息平台。</w:t>
      </w:r>
    </w:p>
    <w:p w:rsidR="0066072C" w:rsidRPr="00685EDD" w:rsidRDefault="0066072C" w:rsidP="0066072C">
      <w:pPr>
        <w:spacing w:line="560" w:lineRule="exact"/>
        <w:ind w:firstLine="645"/>
        <w:rPr>
          <w:rFonts w:ascii="仿宋_GB2312" w:eastAsia="仿宋_GB2312" w:hAnsi="微软雅黑" w:cs="宋体"/>
          <w:b/>
          <w:color w:val="000000"/>
          <w:kern w:val="0"/>
          <w:sz w:val="32"/>
          <w:szCs w:val="32"/>
        </w:rPr>
      </w:pPr>
      <w:r w:rsidRPr="00685EDD">
        <w:rPr>
          <w:rFonts w:ascii="仿宋_GB2312" w:eastAsia="仿宋_GB2312" w:hAnsi="微软雅黑" w:cs="宋体" w:hint="eastAsia"/>
          <w:b/>
          <w:color w:val="000000"/>
          <w:kern w:val="0"/>
          <w:sz w:val="32"/>
          <w:szCs w:val="32"/>
        </w:rPr>
        <w:t>第二十四条（数字地图）</w:t>
      </w:r>
    </w:p>
    <w:p w:rsidR="0066072C" w:rsidRPr="00685EDD" w:rsidRDefault="0066072C" w:rsidP="0066072C">
      <w:pPr>
        <w:widowControl/>
        <w:spacing w:line="560" w:lineRule="exact"/>
        <w:ind w:firstLine="645"/>
        <w:rPr>
          <w:rFonts w:ascii="Times New Roman" w:eastAsia="仿宋_GB2312" w:hAnsi="Times New Roman"/>
          <w:color w:val="000000"/>
          <w:sz w:val="32"/>
          <w:szCs w:val="32"/>
        </w:rPr>
      </w:pPr>
      <w:r w:rsidRPr="00685EDD">
        <w:rPr>
          <w:rFonts w:ascii="Times New Roman" w:eastAsia="仿宋_GB2312" w:hAnsi="Times New Roman" w:hint="eastAsia"/>
          <w:color w:val="000000"/>
          <w:sz w:val="32"/>
          <w:szCs w:val="32"/>
        </w:rPr>
        <w:t>经开区将</w:t>
      </w:r>
      <w:r w:rsidR="0030173C">
        <w:rPr>
          <w:rFonts w:ascii="Times New Roman" w:eastAsia="仿宋_GB2312" w:hAnsi="Times New Roman" w:hint="eastAsia"/>
          <w:color w:val="000000"/>
          <w:sz w:val="32"/>
          <w:szCs w:val="32"/>
        </w:rPr>
        <w:t>标准化产业</w:t>
      </w:r>
      <w:r w:rsidRPr="00685EDD">
        <w:rPr>
          <w:rFonts w:ascii="Times New Roman" w:eastAsia="仿宋_GB2312" w:hAnsi="Times New Roman" w:hint="eastAsia"/>
          <w:color w:val="000000"/>
          <w:sz w:val="32"/>
          <w:szCs w:val="32"/>
        </w:rPr>
        <w:t>用地纳入“智慧亦庄”地理信息系统，通过线上平台全面展示、公布经开区已成交、已公告、计划出让的地块信息、所在园区的信息及周边交通、商业等配套设施信息。企业可按投资、能耗、排放、税收等指标条件，查询投资项目准入门槛，实现土地区域评估、指标体系等要素信息的线上查询、线上追踪。</w:t>
      </w:r>
    </w:p>
    <w:p w:rsidR="0066072C" w:rsidRPr="00685EDD" w:rsidRDefault="0066072C" w:rsidP="0066072C">
      <w:pPr>
        <w:widowControl/>
        <w:spacing w:line="560" w:lineRule="exact"/>
        <w:ind w:firstLine="645"/>
        <w:rPr>
          <w:rFonts w:ascii="Times New Roman" w:eastAsia="仿宋_GB2312" w:hAnsi="Times New Roman"/>
          <w:color w:val="000000"/>
          <w:sz w:val="32"/>
          <w:szCs w:val="32"/>
        </w:rPr>
      </w:pPr>
    </w:p>
    <w:p w:rsidR="0066072C" w:rsidRPr="00685EDD" w:rsidRDefault="0066072C" w:rsidP="0066072C">
      <w:pPr>
        <w:widowControl/>
        <w:spacing w:line="560" w:lineRule="exact"/>
        <w:ind w:firstLine="645"/>
        <w:jc w:val="center"/>
        <w:rPr>
          <w:rFonts w:ascii="黑体" w:eastAsia="黑体" w:hAnsi="黑体"/>
          <w:color w:val="000000"/>
          <w:sz w:val="32"/>
          <w:szCs w:val="32"/>
        </w:rPr>
      </w:pPr>
      <w:r w:rsidRPr="00685EDD">
        <w:rPr>
          <w:rFonts w:ascii="黑体" w:eastAsia="黑体" w:hAnsi="黑体" w:hint="eastAsia"/>
          <w:color w:val="000000"/>
          <w:sz w:val="32"/>
          <w:szCs w:val="32"/>
        </w:rPr>
        <w:t>第七章 附则</w:t>
      </w:r>
    </w:p>
    <w:p w:rsidR="0066072C" w:rsidRPr="00685EDD" w:rsidRDefault="0066072C" w:rsidP="0066072C">
      <w:pPr>
        <w:widowControl/>
        <w:spacing w:line="560" w:lineRule="exact"/>
        <w:ind w:firstLine="645"/>
        <w:jc w:val="center"/>
        <w:rPr>
          <w:rFonts w:ascii="Times New Roman" w:eastAsia="仿宋_GB2312" w:hAnsi="Times New Roman"/>
          <w:color w:val="000000"/>
          <w:sz w:val="32"/>
          <w:szCs w:val="32"/>
        </w:rPr>
      </w:pPr>
    </w:p>
    <w:p w:rsidR="0066072C" w:rsidRPr="00685EDD" w:rsidRDefault="0066072C" w:rsidP="0066072C">
      <w:pPr>
        <w:widowControl/>
        <w:spacing w:line="560" w:lineRule="exact"/>
        <w:ind w:firstLineChars="200" w:firstLine="643"/>
        <w:jc w:val="left"/>
        <w:rPr>
          <w:rFonts w:ascii="仿宋_GB2312" w:eastAsia="仿宋_GB2312" w:hAnsi="宋体" w:cs="宋体"/>
          <w:b/>
          <w:bCs/>
          <w:color w:val="000000"/>
          <w:kern w:val="0"/>
          <w:sz w:val="32"/>
          <w:szCs w:val="32"/>
        </w:rPr>
      </w:pPr>
      <w:r w:rsidRPr="00685EDD">
        <w:rPr>
          <w:rFonts w:ascii="仿宋_GB2312" w:eastAsia="仿宋_GB2312" w:hAnsi="宋体" w:cs="宋体" w:hint="eastAsia"/>
          <w:b/>
          <w:bCs/>
          <w:color w:val="000000"/>
          <w:kern w:val="0"/>
          <w:sz w:val="32"/>
          <w:szCs w:val="32"/>
        </w:rPr>
        <w:t>第二十五条（生效日期）</w:t>
      </w:r>
    </w:p>
    <w:p w:rsidR="0066072C" w:rsidRPr="00685EDD" w:rsidRDefault="0066072C" w:rsidP="0066072C">
      <w:pPr>
        <w:spacing w:line="560" w:lineRule="exact"/>
        <w:ind w:firstLine="645"/>
        <w:rPr>
          <w:rFonts w:ascii="仿宋_GB2312" w:eastAsia="仿宋_GB2312" w:hAnsi="微软雅黑" w:cs="宋体"/>
          <w:color w:val="000000"/>
          <w:kern w:val="0"/>
          <w:sz w:val="32"/>
          <w:szCs w:val="32"/>
        </w:rPr>
      </w:pPr>
      <w:r w:rsidRPr="00685EDD">
        <w:rPr>
          <w:rFonts w:ascii="仿宋_GB2312" w:eastAsia="仿宋_GB2312" w:hAnsi="微软雅黑" w:cs="宋体" w:hint="eastAsia"/>
          <w:color w:val="000000"/>
          <w:kern w:val="0"/>
          <w:sz w:val="32"/>
          <w:szCs w:val="32"/>
        </w:rPr>
        <w:t>本办法自发布之日</w:t>
      </w:r>
      <w:r w:rsidRPr="00685EDD">
        <w:rPr>
          <w:rFonts w:ascii="仿宋_GB2312" w:eastAsia="仿宋_GB2312" w:hAnsi="微软雅黑" w:cs="宋体"/>
          <w:color w:val="000000"/>
          <w:kern w:val="0"/>
          <w:sz w:val="32"/>
          <w:szCs w:val="32"/>
        </w:rPr>
        <w:t>起</w:t>
      </w:r>
      <w:r>
        <w:rPr>
          <w:rFonts w:ascii="仿宋_GB2312" w:eastAsia="仿宋_GB2312" w:hAnsi="微软雅黑" w:cs="宋体" w:hint="eastAsia"/>
          <w:color w:val="000000"/>
          <w:kern w:val="0"/>
          <w:sz w:val="32"/>
          <w:szCs w:val="32"/>
        </w:rPr>
        <w:t>试行，试行期一年</w:t>
      </w:r>
      <w:r w:rsidRPr="00685EDD">
        <w:rPr>
          <w:rFonts w:ascii="仿宋_GB2312" w:eastAsia="仿宋_GB2312" w:hAnsi="微软雅黑" w:cs="宋体" w:hint="eastAsia"/>
          <w:color w:val="000000"/>
          <w:kern w:val="0"/>
          <w:sz w:val="32"/>
          <w:szCs w:val="32"/>
        </w:rPr>
        <w:t>。</w:t>
      </w:r>
    </w:p>
    <w:p w:rsidR="0066072C" w:rsidRPr="00685EDD" w:rsidRDefault="0066072C" w:rsidP="0066072C">
      <w:pPr>
        <w:spacing w:line="560" w:lineRule="exact"/>
        <w:ind w:firstLineChars="200" w:firstLine="640"/>
        <w:rPr>
          <w:rFonts w:ascii="仿宋_GB2312" w:eastAsia="仿宋_GB2312" w:hAnsi="微软雅黑" w:cs="宋体"/>
          <w:color w:val="000000"/>
          <w:kern w:val="0"/>
          <w:sz w:val="32"/>
          <w:szCs w:val="32"/>
        </w:rPr>
      </w:pPr>
      <w:r w:rsidRPr="00685EDD">
        <w:rPr>
          <w:rFonts w:ascii="仿宋_GB2312" w:eastAsia="仿宋_GB2312" w:hAnsi="微软雅黑" w:cs="宋体" w:hint="eastAsia"/>
          <w:color w:val="000000"/>
          <w:kern w:val="0"/>
          <w:sz w:val="32"/>
          <w:szCs w:val="32"/>
        </w:rPr>
        <w:t>本办法由北京经济技术开发区管理委员会负责解释。</w:t>
      </w:r>
    </w:p>
    <w:p w:rsidR="003D009C" w:rsidRPr="0066072C" w:rsidRDefault="00455963"/>
    <w:sectPr w:rsidR="003D009C" w:rsidRPr="0066072C" w:rsidSect="001D6A0F">
      <w:footerReference w:type="default" r:id="rId7"/>
      <w:pgSz w:w="11906" w:h="16838"/>
      <w:pgMar w:top="2098" w:right="1474" w:bottom="1985"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55963" w:rsidRDefault="00455963" w:rsidP="0002608D">
      <w:r>
        <w:separator/>
      </w:r>
    </w:p>
  </w:endnote>
  <w:endnote w:type="continuationSeparator" w:id="0">
    <w:p w:rsidR="00455963" w:rsidRDefault="00455963" w:rsidP="0002608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268628"/>
      <w:docPartObj>
        <w:docPartGallery w:val="Page Numbers (Bottom of Page)"/>
        <w:docPartUnique/>
      </w:docPartObj>
    </w:sdtPr>
    <w:sdtContent>
      <w:p w:rsidR="001D6A0F" w:rsidRDefault="001D6A0F">
        <w:pPr>
          <w:pStyle w:val="a6"/>
          <w:jc w:val="center"/>
        </w:pPr>
        <w:fldSimple w:instr=" PAGE   \* MERGEFORMAT ">
          <w:r w:rsidRPr="001D6A0F">
            <w:rPr>
              <w:noProof/>
              <w:lang w:val="zh-CN"/>
            </w:rPr>
            <w:t>8</w:t>
          </w:r>
        </w:fldSimple>
      </w:p>
    </w:sdtContent>
  </w:sdt>
  <w:p w:rsidR="001D6A0F" w:rsidRDefault="001D6A0F">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55963" w:rsidRDefault="00455963" w:rsidP="0002608D">
      <w:r>
        <w:separator/>
      </w:r>
    </w:p>
  </w:footnote>
  <w:footnote w:type="continuationSeparator" w:id="0">
    <w:p w:rsidR="00455963" w:rsidRDefault="00455963" w:rsidP="0002608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B3E2B20"/>
    <w:multiLevelType w:val="hybridMultilevel"/>
    <w:tmpl w:val="137E4A0E"/>
    <w:lvl w:ilvl="0" w:tplc="E3B672FE">
      <w:start w:val="1"/>
      <w:numFmt w:val="japaneseCounting"/>
      <w:lvlText w:val="第%1章"/>
      <w:lvlJc w:val="left"/>
      <w:pPr>
        <w:ind w:left="4440" w:hanging="1080"/>
      </w:pPr>
      <w:rPr>
        <w:rFonts w:hint="default"/>
      </w:rPr>
    </w:lvl>
    <w:lvl w:ilvl="1" w:tplc="04090019" w:tentative="1">
      <w:start w:val="1"/>
      <w:numFmt w:val="lowerLetter"/>
      <w:lvlText w:val="%2)"/>
      <w:lvlJc w:val="left"/>
      <w:pPr>
        <w:ind w:left="4200" w:hanging="420"/>
      </w:pPr>
    </w:lvl>
    <w:lvl w:ilvl="2" w:tplc="0409001B" w:tentative="1">
      <w:start w:val="1"/>
      <w:numFmt w:val="lowerRoman"/>
      <w:lvlText w:val="%3."/>
      <w:lvlJc w:val="right"/>
      <w:pPr>
        <w:ind w:left="4620" w:hanging="420"/>
      </w:pPr>
    </w:lvl>
    <w:lvl w:ilvl="3" w:tplc="0409000F" w:tentative="1">
      <w:start w:val="1"/>
      <w:numFmt w:val="decimal"/>
      <w:lvlText w:val="%4."/>
      <w:lvlJc w:val="left"/>
      <w:pPr>
        <w:ind w:left="5040" w:hanging="420"/>
      </w:pPr>
    </w:lvl>
    <w:lvl w:ilvl="4" w:tplc="04090019" w:tentative="1">
      <w:start w:val="1"/>
      <w:numFmt w:val="lowerLetter"/>
      <w:lvlText w:val="%5)"/>
      <w:lvlJc w:val="left"/>
      <w:pPr>
        <w:ind w:left="5460" w:hanging="420"/>
      </w:pPr>
    </w:lvl>
    <w:lvl w:ilvl="5" w:tplc="0409001B" w:tentative="1">
      <w:start w:val="1"/>
      <w:numFmt w:val="lowerRoman"/>
      <w:lvlText w:val="%6."/>
      <w:lvlJc w:val="right"/>
      <w:pPr>
        <w:ind w:left="5880" w:hanging="420"/>
      </w:pPr>
    </w:lvl>
    <w:lvl w:ilvl="6" w:tplc="0409000F" w:tentative="1">
      <w:start w:val="1"/>
      <w:numFmt w:val="decimal"/>
      <w:lvlText w:val="%7."/>
      <w:lvlJc w:val="left"/>
      <w:pPr>
        <w:ind w:left="6300" w:hanging="420"/>
      </w:pPr>
    </w:lvl>
    <w:lvl w:ilvl="7" w:tplc="04090019" w:tentative="1">
      <w:start w:val="1"/>
      <w:numFmt w:val="lowerLetter"/>
      <w:lvlText w:val="%8)"/>
      <w:lvlJc w:val="left"/>
      <w:pPr>
        <w:ind w:left="6720" w:hanging="420"/>
      </w:pPr>
    </w:lvl>
    <w:lvl w:ilvl="8" w:tplc="0409001B" w:tentative="1">
      <w:start w:val="1"/>
      <w:numFmt w:val="lowerRoman"/>
      <w:lvlText w:val="%9."/>
      <w:lvlJc w:val="right"/>
      <w:pPr>
        <w:ind w:left="714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1638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6072C"/>
    <w:rsid w:val="0002608D"/>
    <w:rsid w:val="00044A7A"/>
    <w:rsid w:val="000E094D"/>
    <w:rsid w:val="000E32A0"/>
    <w:rsid w:val="000F44A3"/>
    <w:rsid w:val="000F5631"/>
    <w:rsid w:val="001D6A0F"/>
    <w:rsid w:val="00296674"/>
    <w:rsid w:val="0030173C"/>
    <w:rsid w:val="00383A21"/>
    <w:rsid w:val="003F256B"/>
    <w:rsid w:val="00402041"/>
    <w:rsid w:val="00455963"/>
    <w:rsid w:val="004A70CB"/>
    <w:rsid w:val="004B4A2B"/>
    <w:rsid w:val="00571F50"/>
    <w:rsid w:val="0059029D"/>
    <w:rsid w:val="005B1E06"/>
    <w:rsid w:val="00635328"/>
    <w:rsid w:val="0066072C"/>
    <w:rsid w:val="006B4349"/>
    <w:rsid w:val="006F480F"/>
    <w:rsid w:val="0070001C"/>
    <w:rsid w:val="008252E0"/>
    <w:rsid w:val="009032E2"/>
    <w:rsid w:val="009C70FE"/>
    <w:rsid w:val="00BE3355"/>
    <w:rsid w:val="00C705FC"/>
    <w:rsid w:val="00C8222B"/>
    <w:rsid w:val="00CA08E1"/>
    <w:rsid w:val="00D169F8"/>
    <w:rsid w:val="00D613B1"/>
    <w:rsid w:val="00EA41CA"/>
    <w:rsid w:val="00F229CD"/>
    <w:rsid w:val="00F6135B"/>
    <w:rsid w:val="00FA38AE"/>
    <w:rsid w:val="00FB28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60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072C"/>
    <w:pPr>
      <w:widowControl w:val="0"/>
      <w:spacing w:line="240" w:lineRule="auto"/>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6072C"/>
    <w:pPr>
      <w:ind w:firstLineChars="200" w:firstLine="420"/>
    </w:pPr>
    <w:rPr>
      <w:rFonts w:ascii="Times New Roman" w:hAnsi="Times New Roman"/>
      <w:szCs w:val="24"/>
    </w:rPr>
  </w:style>
  <w:style w:type="paragraph" w:styleId="a4">
    <w:name w:val="Balloon Text"/>
    <w:basedOn w:val="a"/>
    <w:link w:val="Char"/>
    <w:uiPriority w:val="99"/>
    <w:semiHidden/>
    <w:unhideWhenUsed/>
    <w:rsid w:val="004A70CB"/>
    <w:rPr>
      <w:sz w:val="18"/>
      <w:szCs w:val="18"/>
    </w:rPr>
  </w:style>
  <w:style w:type="character" w:customStyle="1" w:styleId="Char">
    <w:name w:val="批注框文本 Char"/>
    <w:basedOn w:val="a0"/>
    <w:link w:val="a4"/>
    <w:uiPriority w:val="99"/>
    <w:semiHidden/>
    <w:rsid w:val="004A70CB"/>
    <w:rPr>
      <w:rFonts w:ascii="Calibri" w:eastAsia="宋体" w:hAnsi="Calibri" w:cs="Times New Roman"/>
      <w:sz w:val="18"/>
      <w:szCs w:val="18"/>
    </w:rPr>
  </w:style>
  <w:style w:type="paragraph" w:styleId="a5">
    <w:name w:val="header"/>
    <w:basedOn w:val="a"/>
    <w:link w:val="Char0"/>
    <w:uiPriority w:val="99"/>
    <w:semiHidden/>
    <w:unhideWhenUsed/>
    <w:rsid w:val="0002608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02608D"/>
    <w:rPr>
      <w:rFonts w:ascii="Calibri" w:eastAsia="宋体" w:hAnsi="Calibri" w:cs="Times New Roman"/>
      <w:sz w:val="18"/>
      <w:szCs w:val="18"/>
    </w:rPr>
  </w:style>
  <w:style w:type="paragraph" w:styleId="a6">
    <w:name w:val="footer"/>
    <w:basedOn w:val="a"/>
    <w:link w:val="Char1"/>
    <w:uiPriority w:val="99"/>
    <w:unhideWhenUsed/>
    <w:rsid w:val="0002608D"/>
    <w:pPr>
      <w:tabs>
        <w:tab w:val="center" w:pos="4153"/>
        <w:tab w:val="right" w:pos="8306"/>
      </w:tabs>
      <w:snapToGrid w:val="0"/>
      <w:jc w:val="left"/>
    </w:pPr>
    <w:rPr>
      <w:sz w:val="18"/>
      <w:szCs w:val="18"/>
    </w:rPr>
  </w:style>
  <w:style w:type="character" w:customStyle="1" w:styleId="Char1">
    <w:name w:val="页脚 Char"/>
    <w:basedOn w:val="a0"/>
    <w:link w:val="a6"/>
    <w:uiPriority w:val="99"/>
    <w:rsid w:val="0002608D"/>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8</Pages>
  <Words>512</Words>
  <Characters>2919</Characters>
  <Application>Microsoft Office Word</Application>
  <DocSecurity>0</DocSecurity>
  <Lines>24</Lines>
  <Paragraphs>6</Paragraphs>
  <ScaleCrop>false</ScaleCrop>
  <Company>Microsoft</Company>
  <LinksUpToDate>false</LinksUpToDate>
  <CharactersWithSpaces>3425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郑海涛行政审批局</dc:creator>
  <cp:lastModifiedBy>NTKO</cp:lastModifiedBy>
  <cp:revision>14</cp:revision>
  <dcterms:created xsi:type="dcterms:W3CDTF">2020-05-27T06:11:00Z</dcterms:created>
  <dcterms:modified xsi:type="dcterms:W3CDTF">2020-06-04T06:56:00Z</dcterms:modified>
</cp:coreProperties>
</file>