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7</w:t>
      </w:r>
      <w:r>
        <w:rPr>
          <w:rFonts w:hint="eastAsia" w:ascii="黑体" w:hAnsi="黑体" w:eastAsia="黑体" w:cs="黑体"/>
          <w:color w:val="333333"/>
          <w:spacing w:val="15"/>
          <w:kern w:val="0"/>
          <w:sz w:val="32"/>
          <w:szCs w:val="32"/>
          <w:shd w:val="clear" w:color="auto" w:fill="FFFFFF"/>
        </w:rPr>
        <w:t>：</w:t>
      </w:r>
    </w:p>
    <w:p>
      <w:pPr>
        <w:jc w:val="center"/>
        <w:outlineLvl w:val="0"/>
        <w:rPr>
          <w:rFonts w:ascii="方正小标宋简体" w:hAnsi="方正小标宋简体" w:eastAsia="方正小标宋简体" w:cs="方正小标宋简体"/>
          <w:sz w:val="44"/>
          <w:szCs w:val="44"/>
        </w:rPr>
      </w:pPr>
      <w:bookmarkStart w:id="0" w:name="_Hlk115254402"/>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年度视听产业公共服务平台补贴</w:t>
      </w:r>
      <w:bookmarkEnd w:id="0"/>
      <w:r>
        <w:rPr>
          <w:rFonts w:hint="eastAsia" w:ascii="方正小标宋简体" w:hAnsi="方正小标宋简体" w:eastAsia="方正小标宋简体" w:cs="方正小标宋简体"/>
          <w:sz w:val="44"/>
          <w:szCs w:val="44"/>
        </w:rPr>
        <w:t>事项</w:t>
      </w:r>
    </w:p>
    <w:p>
      <w:pPr>
        <w:jc w:val="center"/>
        <w:outlineLvl w:val="0"/>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办事指南</w:t>
      </w:r>
    </w:p>
    <w:p>
      <w:pPr>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rPr>
          <w:rFonts w:eastAsia="仿宋_GB2312"/>
          <w:sz w:val="32"/>
          <w:szCs w:val="32"/>
        </w:rPr>
      </w:pPr>
      <w:r>
        <w:rPr>
          <w:rFonts w:hint="eastAsia" w:ascii="仿宋_GB2312" w:eastAsia="仿宋_GB2312"/>
          <w:bCs/>
          <w:color w:val="000000" w:themeColor="text1"/>
          <w:sz w:val="32"/>
        </w:rPr>
        <w:t>《北京经济技术开发区视听产业</w:t>
      </w:r>
      <w:r>
        <w:rPr>
          <w:rFonts w:hint="eastAsia" w:eastAsia="仿宋_GB2312"/>
          <w:sz w:val="32"/>
          <w:szCs w:val="32"/>
        </w:rPr>
        <w:t>政策》中第七条支持公共服务平台建设中的“</w:t>
      </w:r>
      <w:r>
        <w:rPr>
          <w:rFonts w:eastAsia="仿宋_GB2312"/>
          <w:sz w:val="32"/>
          <w:szCs w:val="32"/>
        </w:rPr>
        <w:t>鼓励区内企业或机构围绕视听产业领域的技术研发、内容制作、检测认证、知识产权服务、资源对接、展示体验等环节搭建公共服务平台，为区内企业提供服务。对于经认定的公共服务平台，择优给予实际投资总额</w:t>
      </w:r>
      <w:r>
        <w:rPr>
          <w:rFonts w:hint="eastAsia" w:ascii="仿宋_GB2312" w:hAnsi="仿宋_GB2312" w:eastAsia="仿宋_GB2312" w:cs="仿宋_GB2312"/>
          <w:sz w:val="32"/>
          <w:szCs w:val="32"/>
        </w:rPr>
        <w:t>10%</w:t>
      </w:r>
      <w:r>
        <w:rPr>
          <w:rFonts w:eastAsia="仿宋_GB2312"/>
          <w:sz w:val="32"/>
          <w:szCs w:val="32"/>
        </w:rPr>
        <w:t>的后补贴支持，最高不超过</w:t>
      </w:r>
      <w:r>
        <w:rPr>
          <w:rFonts w:hint="eastAsia" w:ascii="仿宋_GB2312" w:hAnsi="仿宋_GB2312" w:eastAsia="仿宋_GB2312" w:cs="仿宋_GB2312"/>
          <w:sz w:val="32"/>
          <w:szCs w:val="32"/>
        </w:rPr>
        <w:t>200万元</w:t>
      </w:r>
      <w:r>
        <w:rPr>
          <w:rFonts w:eastAsia="仿宋_GB2312"/>
          <w:sz w:val="32"/>
          <w:szCs w:val="32"/>
        </w:rPr>
        <w:t>。</w:t>
      </w:r>
      <w:r>
        <w:rPr>
          <w:rFonts w:hint="eastAsia" w:eastAsia="仿宋_GB2312"/>
          <w:sz w:val="32"/>
          <w:szCs w:val="32"/>
        </w:rPr>
        <w:t>”</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年度视听产业公共服务平台补贴</w:t>
      </w:r>
    </w:p>
    <w:p>
      <w:pPr>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360" w:lineRule="auto"/>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（一）申报主体应具有独立法人资格、实行独立核算，在经开区范围内依法注册、纳税、入统的企业或机构；</w:t>
      </w:r>
    </w:p>
    <w:p>
      <w:pPr>
        <w:spacing w:line="360" w:lineRule="auto"/>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（二）申报主体实际生产、经营、研发及服务活动在经开区范围内；</w:t>
      </w:r>
    </w:p>
    <w:p>
      <w:pPr>
        <w:spacing w:line="360" w:lineRule="auto"/>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（三）申报项目原则应为已完工项目，项目建设目标（或规模）须明确，具备考核条件。</w:t>
      </w:r>
    </w:p>
    <w:p>
      <w:pPr>
        <w:spacing w:line="360" w:lineRule="auto"/>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（四）申报主体已获得国家级、市级、区级公共服务平台相关资质，且未申请过经开区同类补贴。</w:t>
      </w:r>
    </w:p>
    <w:p>
      <w:pPr>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line="560" w:lineRule="exact"/>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根据《北京经济技术开发区视听产业政策》规定，对于满足条件的公共服务平台申报主体，给予2</w:t>
      </w:r>
      <w:r>
        <w:rPr>
          <w:rFonts w:ascii="仿宋_GB2312" w:eastAsia="仿宋_GB2312"/>
          <w:bCs/>
          <w:color w:val="000000" w:themeColor="text1"/>
          <w:sz w:val="32"/>
        </w:rPr>
        <w:t>020</w:t>
      </w:r>
      <w:r>
        <w:rPr>
          <w:rFonts w:hint="eastAsia" w:ascii="仿宋_GB2312" w:eastAsia="仿宋_GB2312"/>
          <w:bCs/>
          <w:color w:val="000000" w:themeColor="text1"/>
          <w:sz w:val="32"/>
        </w:rPr>
        <w:t>年1月1日-</w:t>
      </w:r>
      <w:r>
        <w:rPr>
          <w:rFonts w:ascii="仿宋_GB2312" w:eastAsia="仿宋_GB2312"/>
          <w:bCs/>
          <w:color w:val="000000" w:themeColor="text1"/>
          <w:sz w:val="32"/>
        </w:rPr>
        <w:t>202</w:t>
      </w:r>
      <w:r>
        <w:rPr>
          <w:rFonts w:hint="eastAsia" w:ascii="仿宋_GB2312" w:eastAsia="仿宋_GB2312"/>
          <w:bCs/>
          <w:color w:val="000000" w:themeColor="text1"/>
          <w:sz w:val="32"/>
          <w:lang w:val="en-US" w:eastAsia="zh-CN"/>
        </w:rPr>
        <w:t>2</w:t>
      </w:r>
      <w:r>
        <w:rPr>
          <w:rFonts w:hint="eastAsia" w:ascii="仿宋_GB2312" w:eastAsia="仿宋_GB2312"/>
          <w:bCs/>
          <w:color w:val="000000" w:themeColor="text1"/>
          <w:sz w:val="32"/>
        </w:rPr>
        <w:t>年1</w:t>
      </w:r>
      <w:r>
        <w:rPr>
          <w:rFonts w:ascii="仿宋_GB2312" w:eastAsia="仿宋_GB2312"/>
          <w:bCs/>
          <w:color w:val="000000" w:themeColor="text1"/>
          <w:sz w:val="32"/>
        </w:rPr>
        <w:t>2</w:t>
      </w:r>
      <w:r>
        <w:rPr>
          <w:rFonts w:hint="eastAsia" w:ascii="仿宋_GB2312" w:eastAsia="仿宋_GB2312"/>
          <w:bCs/>
          <w:color w:val="000000" w:themeColor="text1"/>
          <w:sz w:val="32"/>
        </w:rPr>
        <w:t>月</w:t>
      </w:r>
      <w:r>
        <w:rPr>
          <w:rFonts w:hint="eastAsia" w:ascii="仿宋_GB2312" w:eastAsia="仿宋_GB2312"/>
          <w:bCs/>
          <w:color w:val="000000" w:themeColor="text1"/>
          <w:sz w:val="32"/>
          <w:lang w:val="en-US" w:eastAsia="zh-CN"/>
        </w:rPr>
        <w:t>28</w:t>
      </w:r>
      <w:r>
        <w:rPr>
          <w:rFonts w:hint="eastAsia" w:ascii="仿宋_GB2312" w:eastAsia="仿宋_GB2312"/>
          <w:bCs/>
          <w:color w:val="000000" w:themeColor="text1"/>
          <w:sz w:val="32"/>
        </w:rPr>
        <w:t>日期间发生的场地、基础设施、服务设备、信息化改造等固定资产投资和平台运营投资总额的10%支持，最高不超过200万元，</w:t>
      </w:r>
      <w:r>
        <w:rPr>
          <w:rFonts w:hint="eastAsia" w:ascii="仿宋_GB2312" w:hAnsi="仿宋_GB2312" w:eastAsia="仿宋_GB2312" w:cs="仿宋_GB2312"/>
          <w:sz w:val="32"/>
          <w:szCs w:val="32"/>
        </w:rPr>
        <w:t>补贴金额以万元为单位，不足万元部分舍去。</w:t>
      </w:r>
      <w:r>
        <w:rPr>
          <w:rFonts w:hint="eastAsia" w:ascii="仿宋_GB2312" w:eastAsia="仿宋_GB2312"/>
          <w:bCs/>
          <w:color w:val="000000" w:themeColor="text1"/>
          <w:sz w:val="32"/>
        </w:rPr>
        <w:t>具体支持标准如下：</w:t>
      </w:r>
    </w:p>
    <w:p>
      <w:pPr>
        <w:spacing w:line="560" w:lineRule="exact"/>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（一）经认定的国家级公共服务平台，择优给予实际投资总额10%的后补贴支持，最高不超过200万元；</w:t>
      </w:r>
    </w:p>
    <w:p>
      <w:pPr>
        <w:spacing w:line="560" w:lineRule="exact"/>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（二）经认定的市级公共服务平台，择优给予实际投资总额10%的后补贴支持，最高不超过100万元；</w:t>
      </w:r>
    </w:p>
    <w:p>
      <w:pPr>
        <w:spacing w:line="560" w:lineRule="exact"/>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（三）经认定的区级公共服务平台，择优给实际投资总额10%的后补贴支持，最高不超过50万元。</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1.202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eastAsia="zh-CN"/>
        </w:rPr>
        <w:t>度</w:t>
      </w:r>
      <w:r>
        <w:rPr>
          <w:rFonts w:hint="eastAsia" w:ascii="仿宋_GB2312" w:hAnsi="仿宋_GB2312" w:eastAsia="仿宋_GB2312" w:cs="仿宋_GB2312"/>
          <w:sz w:val="32"/>
          <w:szCs w:val="32"/>
        </w:rPr>
        <w:t>视听产业公共服务平台补贴事项</w:t>
      </w:r>
      <w:r>
        <w:rPr>
          <w:rFonts w:hint="eastAsia" w:ascii="仿宋_GB2312" w:hAnsi="仿宋_GB2312" w:eastAsia="仿宋_GB2312" w:cs="仿宋_GB2312"/>
          <w:bCs/>
          <w:color w:val="000000"/>
          <w:kern w:val="0"/>
          <w:sz w:val="32"/>
          <w:szCs w:val="32"/>
        </w:rPr>
        <w:t>申报表</w:t>
      </w:r>
      <w:r>
        <w:rPr>
          <w:rFonts w:hint="eastAsia" w:ascii="仿宋_GB2312" w:hAnsi="仿宋_GB2312" w:eastAsia="仿宋_GB2312" w:cs="仿宋_GB2312"/>
          <w:color w:val="000000" w:themeColor="text1"/>
          <w:sz w:val="32"/>
          <w:szCs w:val="32"/>
        </w:rPr>
        <w:t>，在线填写；</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rPr>
        <w:t>企业营业执照，</w:t>
      </w:r>
      <w:bookmarkStart w:id="1" w:name="_Hlk115191650"/>
      <w:r>
        <w:rPr>
          <w:rFonts w:hint="eastAsia" w:ascii="仿宋_GB2312" w:hAnsi="仿宋_GB2312" w:eastAsia="仿宋_GB2312" w:cs="仿宋_GB2312"/>
          <w:color w:val="000000" w:themeColor="text1"/>
          <w:sz w:val="32"/>
          <w:szCs w:val="32"/>
        </w:rPr>
        <w:t>选取电子证照</w:t>
      </w:r>
      <w:bookmarkEnd w:id="1"/>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承诺书，下载模板填写，签字</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银行账户信息，</w:t>
      </w:r>
      <w:bookmarkStart w:id="2" w:name="_Hlk115191672"/>
      <w:r>
        <w:rPr>
          <w:rFonts w:hint="eastAsia" w:ascii="仿宋_GB2312" w:hAnsi="仿宋_GB2312" w:eastAsia="仿宋_GB2312" w:cs="仿宋_GB2312"/>
          <w:color w:val="000000" w:themeColor="text1"/>
          <w:sz w:val="32"/>
          <w:szCs w:val="32"/>
        </w:rPr>
        <w:t>下载模板填写，</w:t>
      </w:r>
      <w:bookmarkEnd w:id="2"/>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bookmarkStart w:id="3" w:name="_Hlk113290483"/>
      <w:r>
        <w:rPr>
          <w:rFonts w:hint="eastAsia" w:ascii="仿宋_GB2312" w:hAnsi="仿宋_GB2312" w:eastAsia="仿宋_GB2312" w:cs="仿宋_GB2312"/>
          <w:color w:val="000000" w:themeColor="text1"/>
          <w:sz w:val="32"/>
          <w:szCs w:val="32"/>
        </w:rPr>
        <w:t>5.</w:t>
      </w:r>
      <w:r>
        <w:rPr>
          <w:rFonts w:hint="eastAsia" w:ascii="仿宋_GB2312" w:hAnsi="Times New Roman" w:eastAsia="仿宋_GB2312" w:cs="Times New Roman"/>
          <w:sz w:val="32"/>
          <w:szCs w:val="32"/>
          <w:highlight w:val="none"/>
        </w:rPr>
        <w:t>企业</w:t>
      </w:r>
      <w:r>
        <w:rPr>
          <w:rFonts w:hint="eastAsia" w:ascii="仿宋_GB2312" w:eastAsia="仿宋_GB2312" w:cs="Times New Roman"/>
          <w:sz w:val="32"/>
          <w:szCs w:val="32"/>
          <w:highlight w:val="none"/>
          <w:lang w:val="en-US" w:eastAsia="zh-CN"/>
        </w:rPr>
        <w:t>2022年（按入库期）</w:t>
      </w:r>
      <w:r>
        <w:rPr>
          <w:rFonts w:hint="eastAsia" w:ascii="仿宋_GB2312" w:hAnsi="仿宋_GB2312" w:eastAsia="仿宋_GB2312" w:cs="仿宋_GB2312"/>
          <w:sz w:val="32"/>
          <w:szCs w:val="32"/>
          <w:lang w:val="en-US" w:eastAsia="zh-CN"/>
        </w:rPr>
        <w:t>的税收</w:t>
      </w:r>
      <w:r>
        <w:rPr>
          <w:rFonts w:hint="eastAsia" w:ascii="仿宋_GB2312" w:hAnsi="仿宋_GB2312" w:eastAsia="仿宋_GB2312" w:cs="仿宋_GB2312"/>
          <w:sz w:val="32"/>
          <w:szCs w:val="32"/>
        </w:rPr>
        <w:t>完税证明</w:t>
      </w:r>
      <w:r>
        <w:rPr>
          <w:rFonts w:hint="eastAsia" w:ascii="仿宋_GB2312" w:hAnsi="仿宋_GB2312" w:eastAsia="仿宋_GB2312" w:cs="仿宋_GB2312"/>
          <w:color w:val="000000" w:themeColor="text1"/>
          <w:sz w:val="32"/>
          <w:szCs w:val="32"/>
        </w:rPr>
        <w:t>，原件彩色扫描上传；</w:t>
      </w:r>
    </w:p>
    <w:bookmarkEnd w:id="3"/>
    <w:p>
      <w:pPr>
        <w:adjustRightInd w:val="0"/>
        <w:snapToGrid w:val="0"/>
        <w:spacing w:line="560" w:lineRule="exact"/>
        <w:ind w:firstLine="640" w:firstLineChars="200"/>
      </w:pPr>
      <w:r>
        <w:rPr>
          <w:rFonts w:hint="eastAsia" w:ascii="仿宋_GB2312" w:hAnsi="仿宋_GB2312" w:eastAsia="仿宋_GB2312" w:cs="仿宋_GB2312"/>
          <w:sz w:val="32"/>
          <w:szCs w:val="32"/>
        </w:rPr>
        <w:t>6.北京经济技术开发区视听产业公共服务平台资金申请报告，</w:t>
      </w:r>
      <w:r>
        <w:rPr>
          <w:rFonts w:hint="eastAsia" w:ascii="仿宋_GB2312" w:hAnsi="仿宋_GB2312" w:eastAsia="仿宋_GB2312" w:cs="仿宋_GB2312"/>
          <w:color w:val="000000" w:themeColor="text1"/>
          <w:sz w:val="32"/>
          <w:szCs w:val="32"/>
        </w:rPr>
        <w:t>下载模板填写，</w:t>
      </w:r>
      <w:r>
        <w:rPr>
          <w:rFonts w:hint="eastAsia" w:ascii="仿宋_GB2312" w:hAnsi="仿宋_GB2312" w:eastAsia="仿宋_GB2312" w:cs="仿宋_GB2312"/>
          <w:spacing w:val="6"/>
          <w:sz w:val="32"/>
          <w:szCs w:val="32"/>
        </w:rPr>
        <w:t>加盖公章，彩色扫描上传；</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eastAsia="仿宋_GB2312"/>
          <w:sz w:val="32"/>
          <w:szCs w:val="32"/>
        </w:rPr>
        <w:t>7</w:t>
      </w:r>
      <w:r>
        <w:rPr>
          <w:rFonts w:hint="eastAsia" w:ascii="仿宋_GB2312" w:eastAsia="仿宋_GB2312"/>
          <w:sz w:val="32"/>
          <w:szCs w:val="32"/>
        </w:rPr>
        <w:t>.具备第三方资质机构出具的公共服务平台建设投资专项审计报告</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原件</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rPr>
        <w:t>项目审批文件，如项目核准或备案、环境影响批复文件等；项目投资涉及土地和土建的，提供相关土地和建筑工程手续批准文件</w:t>
      </w:r>
      <w:r>
        <w:rPr>
          <w:rFonts w:hint="eastAsia" w:ascii="仿宋_GB2312" w:hAnsi="仿宋_GB2312" w:eastAsia="仿宋_GB2312" w:cs="仿宋_GB2312"/>
          <w:color w:val="000000" w:themeColor="text1"/>
          <w:sz w:val="32"/>
          <w:szCs w:val="32"/>
          <w:lang w:eastAsia="zh-CN"/>
        </w:rPr>
        <w:t>，原件</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spacing w:line="360" w:lineRule="auto"/>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9.</w:t>
      </w:r>
      <w:r>
        <w:rPr>
          <w:rFonts w:hint="eastAsia" w:ascii="仿宋_GB2312" w:hAnsi="仿宋_GB2312" w:eastAsia="仿宋_GB2312" w:cs="仿宋_GB2312"/>
          <w:color w:val="000000" w:themeColor="text1"/>
          <w:sz w:val="32"/>
          <w:szCs w:val="32"/>
          <w:lang w:val="en-US" w:eastAsia="zh-CN"/>
        </w:rPr>
        <w:t>项目</w:t>
      </w:r>
      <w:r>
        <w:rPr>
          <w:rFonts w:hint="eastAsia" w:ascii="仿宋_GB2312" w:hAnsi="仿宋_GB2312" w:eastAsia="仿宋_GB2312" w:cs="仿宋_GB2312"/>
          <w:color w:val="000000" w:themeColor="text1"/>
          <w:sz w:val="32"/>
          <w:szCs w:val="32"/>
        </w:rPr>
        <w:t>设备购置、软件购置清单</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rPr>
        <w:t>下载模板填写，</w:t>
      </w:r>
      <w:r>
        <w:rPr>
          <w:rFonts w:hint="eastAsia" w:ascii="仿宋_GB2312" w:hAnsi="仿宋_GB2312" w:eastAsia="仿宋_GB2312" w:cs="仿宋_GB2312"/>
          <w:spacing w:val="6"/>
          <w:sz w:val="32"/>
          <w:szCs w:val="32"/>
        </w:rPr>
        <w:t>加盖公章，彩色扫描上传</w:t>
      </w:r>
      <w:r>
        <w:rPr>
          <w:rFonts w:hint="eastAsia" w:ascii="仿宋_GB2312" w:hAnsi="仿宋_GB2312" w:eastAsia="仿宋_GB2312" w:cs="仿宋_GB2312"/>
          <w:color w:val="000000" w:themeColor="text1"/>
          <w:sz w:val="32"/>
          <w:szCs w:val="32"/>
        </w:rPr>
        <w:t>；</w:t>
      </w:r>
    </w:p>
    <w:p>
      <w:pPr>
        <w:spacing w:line="360" w:lineRule="auto"/>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10.</w:t>
      </w:r>
      <w:r>
        <w:rPr>
          <w:rFonts w:hint="eastAsia" w:ascii="仿宋_GB2312" w:hAnsi="仿宋_GB2312" w:eastAsia="仿宋_GB2312" w:cs="仿宋_GB2312"/>
          <w:color w:val="000000" w:themeColor="text1"/>
          <w:sz w:val="32"/>
          <w:szCs w:val="32"/>
        </w:rPr>
        <w:t>项目支出明细表</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rPr>
        <w:t>下载模板填写，</w:t>
      </w:r>
      <w:r>
        <w:rPr>
          <w:rFonts w:hint="eastAsia" w:ascii="仿宋_GB2312" w:hAnsi="仿宋_GB2312" w:eastAsia="仿宋_GB2312" w:cs="仿宋_GB2312"/>
          <w:spacing w:val="6"/>
          <w:sz w:val="32"/>
          <w:szCs w:val="32"/>
        </w:rPr>
        <w:t>加盖公章，彩色扫描上传</w:t>
      </w:r>
      <w:r>
        <w:rPr>
          <w:rFonts w:hint="eastAsia" w:ascii="仿宋_GB2312" w:hAnsi="仿宋_GB2312" w:eastAsia="仿宋_GB2312" w:cs="仿宋_GB2312"/>
          <w:color w:val="000000" w:themeColor="text1"/>
          <w:sz w:val="32"/>
          <w:szCs w:val="32"/>
        </w:rPr>
        <w:t>；</w:t>
      </w:r>
    </w:p>
    <w:p>
      <w:pPr>
        <w:spacing w:line="360"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r>
        <w:rPr>
          <w:rFonts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rPr>
        <w:t>项目支出证明文件，与上述支出明细表顺序、内容对应一致的记账凭证、付款凭证、采购合同、已投入资金发票等。若零散小型投入无采购合同，需在备注说明，</w:t>
      </w:r>
      <w:r>
        <w:rPr>
          <w:rFonts w:hint="eastAsia" w:ascii="仿宋_GB2312" w:hAnsi="仿宋_GB2312" w:eastAsia="仿宋_GB2312" w:cs="仿宋_GB2312"/>
          <w:spacing w:val="6"/>
          <w:sz w:val="32"/>
          <w:szCs w:val="32"/>
        </w:rPr>
        <w:t>加盖公章，彩色扫描上传；</w:t>
      </w:r>
    </w:p>
    <w:p>
      <w:pPr>
        <w:spacing w:line="360" w:lineRule="auto"/>
        <w:ind w:firstLine="640" w:firstLineChars="200"/>
      </w:pPr>
      <w:r>
        <w:rPr>
          <w:rFonts w:ascii="仿宋_GB2312" w:hAnsi="仿宋_GB2312" w:eastAsia="仿宋_GB2312" w:cs="仿宋_GB2312"/>
          <w:color w:val="000000" w:themeColor="text1"/>
          <w:sz w:val="32"/>
          <w:szCs w:val="32"/>
        </w:rPr>
        <w:t>12.</w:t>
      </w:r>
      <w:r>
        <w:rPr>
          <w:rFonts w:hint="eastAsia" w:ascii="仿宋_GB2312" w:hAnsi="仿宋_GB2312" w:eastAsia="仿宋_GB2312" w:cs="仿宋_GB2312"/>
          <w:color w:val="000000" w:themeColor="text1"/>
          <w:sz w:val="32"/>
          <w:szCs w:val="32"/>
        </w:rPr>
        <w:t>项目场所证明文件，如土地所有权证、房屋产权证、租赁合同等，</w:t>
      </w:r>
      <w:r>
        <w:rPr>
          <w:rFonts w:hint="eastAsia" w:ascii="仿宋_GB2312" w:hAnsi="仿宋_GB2312" w:eastAsia="仿宋_GB2312" w:cs="仿宋_GB2312"/>
          <w:spacing w:val="6"/>
          <w:sz w:val="32"/>
          <w:szCs w:val="32"/>
          <w:lang w:eastAsia="zh-CN"/>
        </w:rPr>
        <w:t>原件</w:t>
      </w:r>
      <w:r>
        <w:rPr>
          <w:rFonts w:hint="eastAsia" w:ascii="仿宋_GB2312" w:hAnsi="仿宋_GB2312" w:eastAsia="仿宋_GB2312" w:cs="仿宋_GB2312"/>
          <w:spacing w:val="6"/>
          <w:sz w:val="32"/>
          <w:szCs w:val="32"/>
        </w:rPr>
        <w:t>彩色扫描上传</w:t>
      </w:r>
      <w:r>
        <w:rPr>
          <w:rFonts w:hint="eastAsia" w:ascii="仿宋_GB2312" w:hAnsi="仿宋_GB2312" w:eastAsia="仿宋_GB2312" w:cs="仿宋_GB2312"/>
          <w:color w:val="000000" w:themeColor="text1"/>
          <w:sz w:val="32"/>
          <w:szCs w:val="32"/>
        </w:rPr>
        <w:t>。</w:t>
      </w:r>
    </w:p>
    <w:p>
      <w:pPr>
        <w:pStyle w:val="2"/>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13</w:t>
      </w:r>
      <w:r>
        <w:rPr>
          <w:rFonts w:hint="eastAsia" w:ascii="仿宋_GB2312" w:hAnsi="仿宋_GB2312" w:eastAsia="仿宋_GB2312" w:cs="仿宋_GB2312"/>
          <w:sz w:val="32"/>
          <w:szCs w:val="32"/>
        </w:rPr>
        <w:t>.相关证明材料，如获得国家或市级公共服务平台资质等文件，</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rPr>
        <w:t>彩色扫描上传。</w:t>
      </w:r>
    </w:p>
    <w:p>
      <w:pPr>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8"/>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8"/>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工委宣传文化部</w:t>
      </w:r>
      <w:r>
        <w:rPr>
          <w:rFonts w:hint="eastAsia" w:ascii="仿宋_GB2312" w:hAnsi="仿宋_GB2312" w:eastAsia="仿宋_GB2312" w:cs="仿宋_GB2312"/>
          <w:color w:val="000000"/>
          <w:kern w:val="2"/>
          <w:sz w:val="32"/>
          <w:szCs w:val="32"/>
        </w:rPr>
        <w:t>对申请材料进行实质审核。</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w:t>
      </w:r>
      <w:r>
        <w:rPr>
          <w:rFonts w:hint="eastAsia" w:ascii="仿宋_GB2312" w:hAnsi="仿宋_GB2312" w:eastAsia="仿宋_GB2312" w:cs="仿宋_GB2312"/>
          <w:color w:val="000000"/>
          <w:kern w:val="2"/>
          <w:sz w:val="32"/>
          <w:szCs w:val="32"/>
          <w:lang w:eastAsia="zh-CN"/>
        </w:rPr>
        <w:t>中心行政</w:t>
      </w:r>
      <w:r>
        <w:rPr>
          <w:rFonts w:hint="eastAsia" w:ascii="仿宋_GB2312" w:hAnsi="仿宋_GB2312" w:eastAsia="仿宋_GB2312" w:cs="仿宋_GB2312"/>
          <w:color w:val="000000"/>
          <w:kern w:val="2"/>
          <w:sz w:val="32"/>
          <w:szCs w:val="32"/>
        </w:rPr>
        <w:t>服务厅“政策申报”窗口提交材料，工作人员核验，与网上提交材料一致的，予以收件；不符合的，当场告知补正要求。</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经开区工委宣传文化部组织专家线下对申请材料进行评审，评审后将结果上传到系统。</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：经开区工委宣传文化部对审核通过的申报主体拟定兑现扶持奖励金额。</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：经开区工委宣传文化部通过政策兑现综合服务平对审核通过的申报主体进行公示。</w:t>
      </w:r>
    </w:p>
    <w:p>
      <w:pPr>
        <w:pStyle w:val="8"/>
        <w:widowControl/>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（八）</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w:t>
      </w:r>
      <w:r>
        <w:rPr>
          <w:rFonts w:hint="eastAsia" w:ascii="仿宋_GB2312" w:hAnsi="仿宋_GB2312" w:eastAsia="仿宋_GB2312" w:cs="仿宋_GB2312"/>
          <w:color w:val="000000"/>
          <w:sz w:val="32"/>
          <w:szCs w:val="32"/>
        </w:rPr>
        <w:t>工委宣传文化部</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北京经济技术开发区荣华中路10号亦城国际中心裙楼二层政务服务中心行政服务厅“政策申报”窗口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日至20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bookmarkStart w:id="4" w:name="_GoBack"/>
      <w:bookmarkEnd w:id="4"/>
    </w:p>
    <w:p>
      <w:pPr>
        <w:ind w:firstLine="640" w:firstLineChars="200"/>
        <w:rPr>
          <w:rFonts w:eastAsia="仿宋_GB2312"/>
          <w:sz w:val="32"/>
          <w:szCs w:val="32"/>
        </w:rPr>
      </w:pPr>
      <w:r>
        <w:rPr>
          <w:rFonts w:hint="eastAsia" w:eastAsia="仿宋_GB2312"/>
          <w:sz w:val="32"/>
          <w:szCs w:val="32"/>
        </w:rPr>
        <w:t>政策咨询：</w:t>
      </w:r>
    </w:p>
    <w:p>
      <w:pPr>
        <w:ind w:firstLine="640" w:firstLineChars="200"/>
        <w:rPr>
          <w:rFonts w:eastAsia="仿宋_GB2312"/>
          <w:sz w:val="32"/>
          <w:szCs w:val="32"/>
        </w:rPr>
      </w:pPr>
      <w:r>
        <w:rPr>
          <w:rFonts w:hint="eastAsia" w:eastAsia="仿宋_GB2312"/>
          <w:sz w:val="32"/>
          <w:szCs w:val="32"/>
        </w:rPr>
        <w:t>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经开区工委宣传文化部，联系电话：</w:t>
      </w:r>
      <w:r>
        <w:rPr>
          <w:rFonts w:ascii="仿宋_GB2312" w:hAnsi="仿宋_GB2312" w:eastAsia="仿宋_GB2312" w:cs="仿宋_GB2312"/>
          <w:sz w:val="32"/>
          <w:szCs w:val="32"/>
        </w:rPr>
        <w:t>010-67857362，工作日上午9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00，下午2:00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w:t>
      </w:r>
    </w:p>
    <w:p>
      <w:pPr>
        <w:ind w:firstLine="640" w:firstLineChars="200"/>
        <w:rPr>
          <w:rFonts w:eastAsia="仿宋_GB2312"/>
          <w:sz w:val="32"/>
          <w:szCs w:val="32"/>
        </w:rPr>
      </w:pPr>
      <w:r>
        <w:rPr>
          <w:rFonts w:hint="eastAsia" w:eastAsia="仿宋_GB2312"/>
          <w:sz w:val="32"/>
          <w:szCs w:val="32"/>
        </w:rPr>
        <w:t>技术支持：</w:t>
      </w:r>
    </w:p>
    <w:p>
      <w:pPr>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工作日上午9:00—12:00，下午2:00—6:00。</w:t>
      </w:r>
    </w:p>
    <w:p>
      <w:pPr>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adjustRightInd w:val="0"/>
        <w:snapToGrid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对于同一项目、同一事项，同时符合本政策规定的支持条件及经开区其他专项支持政策，或已执行开发区入区协议相关政策的，按照从高从优不重复的原则申请支持。企业获得支持资金总额不超过其区域经济贡献的</w:t>
      </w:r>
      <w:r>
        <w:rPr>
          <w:rFonts w:ascii="仿宋_GB2312" w:hAnsi="仿宋_GB2312" w:eastAsia="仿宋_GB2312"/>
          <w:sz w:val="32"/>
        </w:rPr>
        <w:t>50%。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1NTBlNWM2NGQ5ZjUwNzMzZmIwMTZlMGM1YmI5ODAifQ=="/>
  </w:docVars>
  <w:rsids>
    <w:rsidRoot w:val="00360EF1"/>
    <w:rsid w:val="0001192B"/>
    <w:rsid w:val="00060052"/>
    <w:rsid w:val="00062C5F"/>
    <w:rsid w:val="00074BF7"/>
    <w:rsid w:val="000F62F2"/>
    <w:rsid w:val="001145E7"/>
    <w:rsid w:val="00161422"/>
    <w:rsid w:val="00161CCE"/>
    <w:rsid w:val="001B160C"/>
    <w:rsid w:val="00203194"/>
    <w:rsid w:val="00271142"/>
    <w:rsid w:val="002838D9"/>
    <w:rsid w:val="002A0105"/>
    <w:rsid w:val="00336FA9"/>
    <w:rsid w:val="00353C03"/>
    <w:rsid w:val="003563F3"/>
    <w:rsid w:val="00360EF1"/>
    <w:rsid w:val="00395968"/>
    <w:rsid w:val="003A6F11"/>
    <w:rsid w:val="0042212A"/>
    <w:rsid w:val="0043466D"/>
    <w:rsid w:val="004423C5"/>
    <w:rsid w:val="004564E2"/>
    <w:rsid w:val="00457B4D"/>
    <w:rsid w:val="00533C9A"/>
    <w:rsid w:val="006507D0"/>
    <w:rsid w:val="00697A2E"/>
    <w:rsid w:val="006A1513"/>
    <w:rsid w:val="006B08F9"/>
    <w:rsid w:val="006D0140"/>
    <w:rsid w:val="00710378"/>
    <w:rsid w:val="00792E93"/>
    <w:rsid w:val="0083453E"/>
    <w:rsid w:val="00844BDB"/>
    <w:rsid w:val="00900A14"/>
    <w:rsid w:val="00923A77"/>
    <w:rsid w:val="0098077A"/>
    <w:rsid w:val="0099587D"/>
    <w:rsid w:val="009F30EF"/>
    <w:rsid w:val="00A3406B"/>
    <w:rsid w:val="00AC6E24"/>
    <w:rsid w:val="00AD2E9B"/>
    <w:rsid w:val="00AF772B"/>
    <w:rsid w:val="00B74D80"/>
    <w:rsid w:val="00C122AB"/>
    <w:rsid w:val="00C37D99"/>
    <w:rsid w:val="00C67ACC"/>
    <w:rsid w:val="00CD0341"/>
    <w:rsid w:val="00D45FC2"/>
    <w:rsid w:val="00D460B2"/>
    <w:rsid w:val="00D6206F"/>
    <w:rsid w:val="00D668C9"/>
    <w:rsid w:val="00D76185"/>
    <w:rsid w:val="00D85A9F"/>
    <w:rsid w:val="00DB652A"/>
    <w:rsid w:val="00EA199B"/>
    <w:rsid w:val="00EE50CF"/>
    <w:rsid w:val="00EE6BC6"/>
    <w:rsid w:val="00F12BDA"/>
    <w:rsid w:val="00FE1991"/>
    <w:rsid w:val="01540D91"/>
    <w:rsid w:val="01586909"/>
    <w:rsid w:val="015C7ADB"/>
    <w:rsid w:val="01763715"/>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B347F3"/>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5FE01B6"/>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7E25C8C"/>
    <w:rsid w:val="48045B63"/>
    <w:rsid w:val="484F2842"/>
    <w:rsid w:val="49006A23"/>
    <w:rsid w:val="492A682B"/>
    <w:rsid w:val="494C1396"/>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BF618EE"/>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BF7426"/>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7FFF94AB"/>
    <w:rsid w:val="9F6F6015"/>
    <w:rsid w:val="BFDF7AF0"/>
    <w:rsid w:val="C7DB93C8"/>
    <w:rsid w:val="DBFFA1D6"/>
    <w:rsid w:val="DD7E7DC7"/>
    <w:rsid w:val="DEF5E07B"/>
    <w:rsid w:val="EFEEB9E2"/>
    <w:rsid w:val="F5DBA8FA"/>
    <w:rsid w:val="FA8F3471"/>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sz w:val="18"/>
      <w:szCs w:val="18"/>
    </w:r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Balloon Text"/>
    <w:basedOn w:val="1"/>
    <w:link w:val="16"/>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Hyperlink"/>
    <w:basedOn w:val="10"/>
    <w:qFormat/>
    <w:uiPriority w:val="0"/>
    <w:rPr>
      <w:color w:val="0000FF"/>
      <w:u w:val="single"/>
    </w:rPr>
  </w:style>
  <w:style w:type="character" w:customStyle="1" w:styleId="12">
    <w:name w:val="页眉 字符"/>
    <w:basedOn w:val="10"/>
    <w:link w:val="7"/>
    <w:qFormat/>
    <w:uiPriority w:val="0"/>
    <w:rPr>
      <w:kern w:val="2"/>
      <w:sz w:val="18"/>
      <w:szCs w:val="18"/>
    </w:rPr>
  </w:style>
  <w:style w:type="character" w:customStyle="1" w:styleId="13">
    <w:name w:val="页脚 字符"/>
    <w:basedOn w:val="10"/>
    <w:link w:val="6"/>
    <w:qFormat/>
    <w:uiPriority w:val="0"/>
    <w:rPr>
      <w:kern w:val="2"/>
      <w:sz w:val="18"/>
      <w:szCs w:val="18"/>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文档结构图 字符"/>
    <w:basedOn w:val="10"/>
    <w:link w:val="2"/>
    <w:qFormat/>
    <w:uiPriority w:val="0"/>
    <w:rPr>
      <w:rFonts w:ascii="宋体"/>
      <w:kern w:val="2"/>
      <w:sz w:val="18"/>
      <w:szCs w:val="18"/>
    </w:rPr>
  </w:style>
  <w:style w:type="character" w:customStyle="1" w:styleId="16">
    <w:name w:val="批注框文本 字符"/>
    <w:basedOn w:val="10"/>
    <w:link w:val="5"/>
    <w:qFormat/>
    <w:uiPriority w:val="0"/>
    <w:rPr>
      <w:kern w:val="2"/>
      <w:sz w:val="18"/>
      <w:szCs w:val="18"/>
    </w:rPr>
  </w:style>
  <w:style w:type="paragraph" w:customStyle="1" w:styleId="17">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358</Words>
  <Characters>2045</Characters>
  <Lines>17</Lines>
  <Paragraphs>4</Paragraphs>
  <TotalTime>4</TotalTime>
  <ScaleCrop>false</ScaleCrop>
  <LinksUpToDate>false</LinksUpToDate>
  <CharactersWithSpaces>2399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2019-08-13T14:54:00Z</dcterms:created>
  <dc:creator>zkk</dc:creator>
  <cp:lastModifiedBy>admin</cp:lastModifiedBy>
  <cp:lastPrinted>2020-03-23T11:03:00Z</cp:lastPrinted>
  <dcterms:modified xsi:type="dcterms:W3CDTF">2023-05-11T08:26:29Z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D0C6CB4D3DD449CF9F01DB31742842FE</vt:lpwstr>
  </property>
</Properties>
</file>