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仿宋_GB2312" w:hAnsi="仿宋_GB2312" w:eastAsia="仿宋_GB2312" w:cs="仿宋_GB2312"/>
          <w:b/>
          <w:bCs/>
          <w:sz w:val="32"/>
          <w:szCs w:val="32"/>
        </w:rPr>
      </w:pPr>
      <w:r>
        <w:rPr>
          <w:rFonts w:hint="eastAsia" w:ascii="黑体" w:hAnsi="黑体" w:eastAsia="黑体" w:cs="黑体"/>
          <w:color w:val="333333"/>
          <w:spacing w:val="15"/>
          <w:kern w:val="0"/>
          <w:sz w:val="32"/>
          <w:szCs w:val="32"/>
          <w:shd w:val="clear" w:color="auto" w:fill="FFFFFF"/>
        </w:rPr>
        <w:t>附件</w:t>
      </w:r>
      <w:r>
        <w:rPr>
          <w:rFonts w:hint="eastAsia" w:ascii="黑体" w:hAnsi="黑体" w:eastAsia="黑体" w:cs="黑体"/>
          <w:color w:val="333333"/>
          <w:spacing w:val="15"/>
          <w:kern w:val="0"/>
          <w:sz w:val="32"/>
          <w:szCs w:val="32"/>
          <w:shd w:val="clear" w:color="auto" w:fill="FFFFFF"/>
          <w:lang w:val="en-US" w:eastAsia="zh-CN"/>
        </w:rPr>
        <w:t>6</w:t>
      </w:r>
      <w:r>
        <w:rPr>
          <w:rFonts w:hint="eastAsia" w:ascii="黑体" w:hAnsi="黑体" w:eastAsia="黑体" w:cs="黑体"/>
          <w:color w:val="333333"/>
          <w:spacing w:val="15"/>
          <w:kern w:val="0"/>
          <w:sz w:val="32"/>
          <w:szCs w:val="32"/>
          <w:shd w:val="clear" w:color="auto" w:fill="FFFFFF"/>
        </w:rPr>
        <w:t>：</w:t>
      </w:r>
    </w:p>
    <w:p>
      <w:pPr>
        <w:jc w:val="center"/>
        <w:outlineLvl w:val="0"/>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年度视听产业活动补贴事项办事指南</w:t>
      </w:r>
    </w:p>
    <w:p>
      <w:pPr>
        <w:ind w:firstLine="640" w:firstLineChars="200"/>
        <w:outlineLvl w:val="0"/>
        <w:rPr>
          <w:rFonts w:ascii="黑体" w:hAnsi="黑体" w:eastAsia="黑体" w:cs="黑体"/>
          <w:color w:val="000000"/>
          <w:kern w:val="0"/>
          <w:sz w:val="32"/>
          <w:szCs w:val="32"/>
        </w:rPr>
      </w:pPr>
      <w:r>
        <w:rPr>
          <w:rFonts w:hint="eastAsia" w:ascii="黑体" w:hAnsi="黑体" w:eastAsia="黑体" w:cs="黑体"/>
          <w:sz w:val="32"/>
          <w:szCs w:val="32"/>
        </w:rPr>
        <w:t>一、政策依据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color w:val="000000" w:themeColor="text1"/>
          <w:sz w:val="32"/>
        </w:rPr>
        <w:t>《北京经济技术开发区视听产业政策》第六条支持开展产业活动中“支持视听企业或机构主办影响重大、国际化程度高、社会效益突出、示范效应明显的展览论坛、创新大赛、学术交流等产业活动。经审核认定后，按照活动实际发生费用给予不超过20%的一次性补贴，每个活动补贴金额不超过500万元。”</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二、申报事项</w:t>
      </w:r>
    </w:p>
    <w:p>
      <w:pPr>
        <w:spacing w:line="360" w:lineRule="auto"/>
        <w:ind w:firstLine="640" w:firstLineChars="200"/>
        <w:rPr>
          <w:rFonts w:ascii="黑体" w:hAnsi="黑体" w:eastAsia="黑体" w:cs="黑体"/>
          <w:bCs/>
          <w:color w:val="000000"/>
          <w:kern w:val="0"/>
          <w:sz w:val="32"/>
          <w:szCs w:val="32"/>
        </w:rPr>
      </w:pPr>
      <w:r>
        <w:rPr>
          <w:rFonts w:hint="eastAsia" w:ascii="仿宋_GB2312" w:hAnsi="仿宋_GB2312" w:eastAsia="仿宋_GB2312" w:cs="仿宋_GB2312"/>
          <w:bCs/>
          <w:color w:val="000000"/>
          <w:kern w:val="0"/>
          <w:sz w:val="32"/>
          <w:szCs w:val="32"/>
        </w:rPr>
        <w:t>202</w:t>
      </w:r>
      <w:r>
        <w:rPr>
          <w:rFonts w:hint="eastAsia" w:ascii="仿宋_GB2312" w:hAnsi="仿宋_GB2312" w:eastAsia="仿宋_GB2312" w:cs="仿宋_GB2312"/>
          <w:bCs/>
          <w:color w:val="000000"/>
          <w:kern w:val="0"/>
          <w:sz w:val="32"/>
          <w:szCs w:val="32"/>
          <w:lang w:val="en-US" w:eastAsia="zh-CN"/>
        </w:rPr>
        <w:t>2</w:t>
      </w:r>
      <w:r>
        <w:rPr>
          <w:rFonts w:hint="eastAsia" w:ascii="仿宋_GB2312" w:hAnsi="仿宋_GB2312" w:eastAsia="仿宋_GB2312" w:cs="仿宋_GB2312"/>
          <w:bCs/>
          <w:color w:val="000000"/>
          <w:kern w:val="0"/>
          <w:sz w:val="32"/>
          <w:szCs w:val="32"/>
        </w:rPr>
        <w:t>年度视听产业活动补贴</w:t>
      </w:r>
    </w:p>
    <w:p>
      <w:pPr>
        <w:ind w:firstLine="640" w:firstLineChars="200"/>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（一）申报主体应具有独立法人资格、实行独立核算，在经开区范围内依法注册、纳税、入统</w:t>
      </w:r>
      <w:r>
        <w:rPr>
          <w:rFonts w:hint="eastAsia" w:ascii="仿宋_GB2312" w:hAnsi="仿宋_GB2312" w:eastAsia="仿宋_GB2312" w:cs="仿宋_GB2312"/>
          <w:sz w:val="32"/>
          <w:szCs w:val="32"/>
        </w:rPr>
        <w:t>的企业或机构</w:t>
      </w:r>
      <w:r>
        <w:rPr>
          <w:rFonts w:ascii="仿宋_GB2312" w:hAnsi="仿宋_GB2312" w:eastAsia="仿宋_GB2312" w:cs="仿宋_GB2312"/>
          <w:sz w:val="32"/>
          <w:szCs w:val="32"/>
        </w:rPr>
        <w:t>；</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（二）活动举办地应在经开区范围内；</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（三）活动</w:t>
      </w:r>
      <w:r>
        <w:rPr>
          <w:rFonts w:hint="eastAsia" w:ascii="仿宋_GB2312" w:hAnsi="仿宋_GB2312" w:eastAsia="仿宋_GB2312" w:cs="仿宋_GB2312"/>
          <w:sz w:val="32"/>
          <w:szCs w:val="32"/>
        </w:rPr>
        <w:t>在2</w:t>
      </w:r>
      <w:r>
        <w:rPr>
          <w:rFonts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已按期举办并完成项目验收；</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（四）经审核符合政策补贴原则的视听产业活动。</w:t>
      </w:r>
    </w:p>
    <w:p>
      <w:pPr>
        <w:ind w:firstLine="640" w:firstLineChars="200"/>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pPr>
        <w:ind w:firstLine="707" w:firstLineChars="221"/>
        <w:rPr>
          <w:rFonts w:ascii="仿宋_GB2312" w:hAnsi="仿宋_GB2312" w:eastAsia="仿宋_GB2312" w:cs="仿宋_GB2312"/>
          <w:sz w:val="32"/>
          <w:szCs w:val="32"/>
        </w:rPr>
      </w:pPr>
      <w:r>
        <w:rPr>
          <w:rFonts w:ascii="仿宋_GB2312" w:hAnsi="仿宋_GB2312" w:eastAsia="仿宋_GB2312" w:cs="仿宋_GB2312"/>
          <w:sz w:val="32"/>
          <w:szCs w:val="32"/>
        </w:rPr>
        <w:t>（一）</w:t>
      </w:r>
      <w:r>
        <w:rPr>
          <w:rFonts w:hint="eastAsia" w:ascii="仿宋_GB2312" w:hAnsi="仿宋_GB2312" w:eastAsia="仿宋_GB2312" w:cs="仿宋_GB2312"/>
          <w:sz w:val="32"/>
          <w:szCs w:val="32"/>
        </w:rPr>
        <w:t>择优支持主办世界级、国家级视听产业活动，经审核认定后，按照活动2</w:t>
      </w:r>
      <w:r>
        <w:rPr>
          <w:rFonts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年实际发生费用给予不超过20%的一次性补贴，每个活动补贴金额不超过500万元；</w:t>
      </w:r>
    </w:p>
    <w:p>
      <w:pPr>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（二）择优支持主办北京市视听产业活动，经审核认定后，按照活动2</w:t>
      </w:r>
      <w:r>
        <w:rPr>
          <w:rFonts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年实际发生费用给予不超过20%的一次性补贴，每个活动补贴金额不超过300万元；</w:t>
      </w:r>
    </w:p>
    <w:p>
      <w:pPr>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（三）择优支持主办经开区视听产业活动，经审核认定后，按照活动2</w:t>
      </w:r>
      <w:r>
        <w:rPr>
          <w:rFonts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年实际发生费用给予不超过20%的一次性补贴，每个活动补贴金额不超过100万元；</w:t>
      </w:r>
    </w:p>
    <w:p>
      <w:pPr>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（四）同一申报主体年度申请补贴项目不超过3项；补贴金额以万元为单位，不足万元部分舍去。</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五、申报材料及要求</w:t>
      </w:r>
    </w:p>
    <w:p>
      <w:pPr>
        <w:ind w:firstLine="664" w:firstLineChars="200"/>
        <w:outlineLvl w:val="1"/>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（一）申报材料</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1.</w:t>
      </w:r>
      <w:r>
        <w:rPr>
          <w:rFonts w:ascii="仿宋_GB2312" w:hAnsi="仿宋_GB2312" w:eastAsia="仿宋_GB2312" w:cs="仿宋_GB2312"/>
          <w:bCs/>
          <w:color w:val="000000"/>
          <w:kern w:val="0"/>
          <w:sz w:val="32"/>
          <w:szCs w:val="32"/>
        </w:rPr>
        <w:t>202</w:t>
      </w:r>
      <w:r>
        <w:rPr>
          <w:rFonts w:hint="eastAsia" w:ascii="仿宋_GB2312" w:hAnsi="仿宋_GB2312" w:eastAsia="仿宋_GB2312" w:cs="仿宋_GB2312"/>
          <w:bCs/>
          <w:color w:val="000000"/>
          <w:kern w:val="0"/>
          <w:sz w:val="32"/>
          <w:szCs w:val="32"/>
          <w:lang w:val="en-US" w:eastAsia="zh-CN"/>
        </w:rPr>
        <w:t>2</w:t>
      </w:r>
      <w:r>
        <w:rPr>
          <w:rFonts w:hint="eastAsia" w:ascii="仿宋_GB2312" w:hAnsi="仿宋_GB2312" w:eastAsia="仿宋_GB2312" w:cs="仿宋_GB2312"/>
          <w:bCs/>
          <w:color w:val="000000"/>
          <w:kern w:val="0"/>
          <w:sz w:val="32"/>
          <w:szCs w:val="32"/>
        </w:rPr>
        <w:t>年度视听产业活动补贴事项申报表</w:t>
      </w:r>
      <w:r>
        <w:rPr>
          <w:rFonts w:hint="eastAsia" w:ascii="仿宋_GB2312" w:hAnsi="仿宋_GB2312" w:eastAsia="仿宋_GB2312" w:cs="仿宋_GB2312"/>
          <w:color w:val="000000" w:themeColor="text1"/>
          <w:sz w:val="32"/>
          <w:szCs w:val="32"/>
        </w:rPr>
        <w:t>，在线填写；</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2.</w:t>
      </w:r>
      <w:r>
        <w:rPr>
          <w:rFonts w:hint="eastAsia" w:ascii="仿宋_GB2312" w:hAnsi="仿宋_GB2312" w:eastAsia="仿宋_GB2312" w:cs="仿宋_GB2312"/>
          <w:color w:val="000000" w:themeColor="text1"/>
          <w:sz w:val="32"/>
          <w:szCs w:val="32"/>
        </w:rPr>
        <w:t>企业营业执照，</w:t>
      </w:r>
      <w:bookmarkStart w:id="0" w:name="_Hlk115191650"/>
      <w:r>
        <w:rPr>
          <w:rFonts w:hint="eastAsia" w:ascii="仿宋_GB2312" w:hAnsi="仿宋_GB2312" w:eastAsia="仿宋_GB2312" w:cs="仿宋_GB2312"/>
          <w:color w:val="000000" w:themeColor="text1"/>
          <w:sz w:val="32"/>
          <w:szCs w:val="32"/>
        </w:rPr>
        <w:t>选取电子证照</w:t>
      </w:r>
      <w:bookmarkEnd w:id="0"/>
      <w:r>
        <w:rPr>
          <w:rFonts w:hint="eastAsia" w:ascii="仿宋_GB2312" w:hAnsi="仿宋_GB2312" w:eastAsia="仿宋_GB2312" w:cs="仿宋_GB2312"/>
          <w:color w:val="000000" w:themeColor="text1"/>
          <w:sz w:val="32"/>
          <w:szCs w:val="32"/>
        </w:rPr>
        <w:t>；</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3.</w:t>
      </w:r>
      <w:r>
        <w:rPr>
          <w:rFonts w:hint="eastAsia" w:ascii="仿宋_GB2312" w:hAnsi="仿宋_GB2312" w:eastAsia="仿宋_GB2312" w:cs="仿宋_GB2312"/>
          <w:color w:val="000000" w:themeColor="text1"/>
          <w:sz w:val="32"/>
          <w:szCs w:val="32"/>
        </w:rPr>
        <w:t>承诺书，下载模板填写，签字</w:t>
      </w:r>
      <w:r>
        <w:rPr>
          <w:rFonts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加盖公章，</w:t>
      </w:r>
      <w:r>
        <w:rPr>
          <w:rFonts w:ascii="仿宋_GB2312" w:hAnsi="仿宋_GB2312" w:eastAsia="仿宋_GB2312" w:cs="仿宋_GB2312"/>
          <w:color w:val="000000" w:themeColor="text1"/>
          <w:sz w:val="32"/>
          <w:szCs w:val="32"/>
        </w:rPr>
        <w:t>彩色</w:t>
      </w:r>
      <w:r>
        <w:rPr>
          <w:rFonts w:hint="eastAsia" w:ascii="仿宋_GB2312" w:hAnsi="仿宋_GB2312" w:eastAsia="仿宋_GB2312" w:cs="仿宋_GB2312"/>
          <w:color w:val="000000" w:themeColor="text1"/>
          <w:sz w:val="32"/>
          <w:szCs w:val="32"/>
        </w:rPr>
        <w:t>扫描</w:t>
      </w:r>
      <w:r>
        <w:rPr>
          <w:rFonts w:ascii="仿宋_GB2312" w:hAnsi="仿宋_GB2312" w:eastAsia="仿宋_GB2312" w:cs="仿宋_GB2312"/>
          <w:color w:val="000000" w:themeColor="text1"/>
          <w:sz w:val="32"/>
          <w:szCs w:val="32"/>
        </w:rPr>
        <w:t>上传</w:t>
      </w:r>
      <w:r>
        <w:rPr>
          <w:rFonts w:hint="eastAsia" w:ascii="仿宋_GB2312" w:hAnsi="仿宋_GB2312" w:eastAsia="仿宋_GB2312" w:cs="仿宋_GB2312"/>
          <w:color w:val="000000" w:themeColor="text1"/>
          <w:sz w:val="32"/>
          <w:szCs w:val="32"/>
        </w:rPr>
        <w:t>；</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4.</w:t>
      </w:r>
      <w:r>
        <w:rPr>
          <w:rFonts w:hint="eastAsia" w:ascii="仿宋_GB2312" w:hAnsi="仿宋_GB2312" w:eastAsia="仿宋_GB2312" w:cs="仿宋_GB2312"/>
          <w:color w:val="000000" w:themeColor="text1"/>
          <w:sz w:val="32"/>
          <w:szCs w:val="32"/>
        </w:rPr>
        <w:t>银行账户信息，</w:t>
      </w:r>
      <w:bookmarkStart w:id="1" w:name="_Hlk115191672"/>
      <w:r>
        <w:rPr>
          <w:rFonts w:hint="eastAsia" w:ascii="仿宋_GB2312" w:hAnsi="仿宋_GB2312" w:eastAsia="仿宋_GB2312" w:cs="仿宋_GB2312"/>
          <w:color w:val="000000" w:themeColor="text1"/>
          <w:sz w:val="32"/>
          <w:szCs w:val="32"/>
        </w:rPr>
        <w:t>下载模板填写，</w:t>
      </w:r>
      <w:bookmarkEnd w:id="1"/>
      <w:r>
        <w:rPr>
          <w:rFonts w:hint="eastAsia" w:ascii="仿宋_GB2312" w:hAnsi="仿宋_GB2312" w:eastAsia="仿宋_GB2312" w:cs="仿宋_GB2312"/>
          <w:color w:val="000000" w:themeColor="text1"/>
          <w:sz w:val="32"/>
          <w:szCs w:val="32"/>
        </w:rPr>
        <w:t>加盖公章，</w:t>
      </w:r>
      <w:r>
        <w:rPr>
          <w:rFonts w:ascii="仿宋_GB2312" w:hAnsi="仿宋_GB2312" w:eastAsia="仿宋_GB2312" w:cs="仿宋_GB2312"/>
          <w:color w:val="000000" w:themeColor="text1"/>
          <w:sz w:val="32"/>
          <w:szCs w:val="32"/>
        </w:rPr>
        <w:t>彩色</w:t>
      </w:r>
      <w:r>
        <w:rPr>
          <w:rFonts w:hint="eastAsia" w:ascii="仿宋_GB2312" w:hAnsi="仿宋_GB2312" w:eastAsia="仿宋_GB2312" w:cs="仿宋_GB2312"/>
          <w:color w:val="000000" w:themeColor="text1"/>
          <w:sz w:val="32"/>
          <w:szCs w:val="32"/>
        </w:rPr>
        <w:t>扫描</w:t>
      </w:r>
      <w:r>
        <w:rPr>
          <w:rFonts w:ascii="仿宋_GB2312" w:hAnsi="仿宋_GB2312" w:eastAsia="仿宋_GB2312" w:cs="仿宋_GB2312"/>
          <w:color w:val="000000" w:themeColor="text1"/>
          <w:sz w:val="32"/>
          <w:szCs w:val="32"/>
        </w:rPr>
        <w:t>上传</w:t>
      </w:r>
      <w:r>
        <w:rPr>
          <w:rFonts w:hint="eastAsia" w:ascii="仿宋_GB2312" w:hAnsi="仿宋_GB2312" w:eastAsia="仿宋_GB2312" w:cs="仿宋_GB2312"/>
          <w:color w:val="000000" w:themeColor="text1"/>
          <w:sz w:val="32"/>
          <w:szCs w:val="32"/>
        </w:rPr>
        <w:t>；</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bookmarkStart w:id="2" w:name="_Hlk113290483"/>
      <w:r>
        <w:rPr>
          <w:rFonts w:hint="eastAsia" w:ascii="仿宋_GB2312" w:hAnsi="仿宋_GB2312" w:eastAsia="仿宋_GB2312" w:cs="仿宋_GB2312"/>
          <w:color w:val="000000" w:themeColor="text1"/>
          <w:sz w:val="32"/>
          <w:szCs w:val="32"/>
        </w:rPr>
        <w:t xml:space="preserve">5. </w:t>
      </w:r>
      <w:r>
        <w:rPr>
          <w:rFonts w:hint="eastAsia" w:ascii="仿宋_GB2312" w:hAnsi="Times New Roman" w:eastAsia="仿宋_GB2312" w:cs="Times New Roman"/>
          <w:sz w:val="32"/>
          <w:szCs w:val="32"/>
          <w:highlight w:val="none"/>
        </w:rPr>
        <w:t>企业</w:t>
      </w:r>
      <w:r>
        <w:rPr>
          <w:rFonts w:hint="eastAsia" w:ascii="仿宋_GB2312" w:eastAsia="仿宋_GB2312" w:cs="Times New Roman"/>
          <w:sz w:val="32"/>
          <w:szCs w:val="32"/>
          <w:highlight w:val="none"/>
          <w:lang w:val="en-US" w:eastAsia="zh-CN"/>
        </w:rPr>
        <w:t>2022年（按入库期）</w:t>
      </w:r>
      <w:r>
        <w:rPr>
          <w:rFonts w:hint="eastAsia" w:ascii="仿宋_GB2312" w:hAnsi="仿宋_GB2312" w:eastAsia="仿宋_GB2312" w:cs="仿宋_GB2312"/>
          <w:sz w:val="32"/>
          <w:szCs w:val="32"/>
          <w:lang w:val="en-US" w:eastAsia="zh-CN"/>
        </w:rPr>
        <w:t>的税收</w:t>
      </w:r>
      <w:r>
        <w:rPr>
          <w:rFonts w:hint="eastAsia" w:ascii="仿宋_GB2312" w:hAnsi="仿宋_GB2312" w:eastAsia="仿宋_GB2312" w:cs="仿宋_GB2312"/>
          <w:sz w:val="32"/>
          <w:szCs w:val="32"/>
        </w:rPr>
        <w:t>完税证明</w:t>
      </w:r>
      <w:r>
        <w:rPr>
          <w:rFonts w:hint="eastAsia" w:ascii="仿宋_GB2312" w:hAnsi="仿宋_GB2312" w:eastAsia="仿宋_GB2312" w:cs="仿宋_GB2312"/>
          <w:color w:val="000000" w:themeColor="text1"/>
          <w:sz w:val="32"/>
          <w:szCs w:val="32"/>
        </w:rPr>
        <w:t>，原件彩色扫描上传；</w:t>
      </w:r>
    </w:p>
    <w:bookmarkEnd w:id="2"/>
    <w:p>
      <w:pPr>
        <w:spacing w:line="360" w:lineRule="auto"/>
        <w:ind w:firstLine="640" w:firstLineChars="200"/>
        <w:rPr>
          <w:rFonts w:ascii="仿宋_GB2312" w:hAnsi="仿宋_GB2312" w:eastAsia="仿宋_GB2312" w:cs="仿宋_GB2312"/>
          <w:spacing w:val="6"/>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.活动方案（活动简介、组委会、活动规模、活动地点及时间、宣传方式、现场情况介绍等），</w:t>
      </w:r>
      <w:r>
        <w:rPr>
          <w:rFonts w:hint="eastAsia" w:ascii="仿宋_GB2312" w:hAnsi="仿宋_GB2312" w:eastAsia="仿宋_GB2312" w:cs="仿宋_GB2312"/>
          <w:spacing w:val="6"/>
          <w:sz w:val="32"/>
          <w:szCs w:val="32"/>
        </w:rPr>
        <w:t>加盖公章，彩色扫描上传；</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.活动总结报告（活动</w:t>
      </w:r>
      <w:r>
        <w:rPr>
          <w:rFonts w:ascii="仿宋_GB2312" w:hAnsi="仿宋_GB2312" w:eastAsia="仿宋_GB2312" w:cs="仿宋_GB2312"/>
          <w:sz w:val="32"/>
          <w:szCs w:val="32"/>
        </w:rPr>
        <w:t>通知、</w:t>
      </w:r>
      <w:r>
        <w:rPr>
          <w:rFonts w:hint="eastAsia" w:ascii="仿宋_GB2312" w:hAnsi="仿宋_GB2312" w:eastAsia="仿宋_GB2312" w:cs="仿宋_GB2312"/>
          <w:sz w:val="32"/>
          <w:szCs w:val="32"/>
        </w:rPr>
        <w:t>出席人员及相关资格、职称等证明材料、</w:t>
      </w:r>
      <w:r>
        <w:rPr>
          <w:rFonts w:ascii="仿宋_GB2312" w:hAnsi="仿宋_GB2312" w:eastAsia="仿宋_GB2312" w:cs="仿宋_GB2312"/>
          <w:sz w:val="32"/>
          <w:szCs w:val="32"/>
        </w:rPr>
        <w:t>合作协议、</w:t>
      </w:r>
      <w:r>
        <w:rPr>
          <w:rFonts w:hint="eastAsia" w:ascii="仿宋_GB2312" w:hAnsi="仿宋_GB2312" w:eastAsia="仿宋_GB2312" w:cs="仿宋_GB2312"/>
          <w:sz w:val="32"/>
          <w:szCs w:val="32"/>
        </w:rPr>
        <w:t>备案文件、活动</w:t>
      </w:r>
      <w:r>
        <w:rPr>
          <w:rFonts w:ascii="仿宋_GB2312" w:hAnsi="仿宋_GB2312" w:eastAsia="仿宋_GB2312" w:cs="仿宋_GB2312"/>
          <w:sz w:val="32"/>
          <w:szCs w:val="32"/>
        </w:rPr>
        <w:t>照片、</w:t>
      </w:r>
      <w:r>
        <w:rPr>
          <w:rFonts w:hint="eastAsia" w:ascii="仿宋_GB2312" w:hAnsi="仿宋_GB2312" w:eastAsia="仿宋_GB2312" w:cs="仿宋_GB2312"/>
          <w:sz w:val="32"/>
          <w:szCs w:val="32"/>
        </w:rPr>
        <w:t>签到表、报道宣传</w:t>
      </w:r>
      <w:r>
        <w:rPr>
          <w:rFonts w:ascii="仿宋_GB2312" w:hAnsi="仿宋_GB2312" w:eastAsia="仿宋_GB2312" w:cs="仿宋_GB2312"/>
          <w:sz w:val="32"/>
          <w:szCs w:val="32"/>
        </w:rPr>
        <w:t>等</w:t>
      </w:r>
      <w:r>
        <w:rPr>
          <w:rFonts w:hint="eastAsia" w:ascii="仿宋_GB2312" w:hAnsi="仿宋_GB2312" w:eastAsia="仿宋_GB2312" w:cs="仿宋_GB2312"/>
          <w:sz w:val="32"/>
          <w:szCs w:val="32"/>
        </w:rPr>
        <w:t>），加盖公章，彩色扫描上传；</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赛事</w:t>
      </w:r>
      <w:r>
        <w:rPr>
          <w:rFonts w:hint="eastAsia" w:ascii="仿宋_GB2312" w:hAnsi="仿宋_GB2312" w:eastAsia="仿宋_GB2312" w:cs="仿宋_GB2312"/>
          <w:sz w:val="32"/>
          <w:szCs w:val="32"/>
        </w:rPr>
        <w:t>活动支出证明（活动支出专项审计报告、支出明细表</w:t>
      </w:r>
      <w:r>
        <w:rPr>
          <w:rFonts w:hint="eastAsia" w:ascii="仿宋_GB2312" w:hAnsi="仿宋_GB2312" w:eastAsia="仿宋_GB2312" w:cs="仿宋_GB2312"/>
          <w:sz w:val="32"/>
          <w:szCs w:val="32"/>
          <w:lang w:eastAsia="zh-CN"/>
        </w:rPr>
        <w:t>，下载模板填写，</w:t>
      </w:r>
      <w:r>
        <w:rPr>
          <w:rFonts w:hint="eastAsia" w:ascii="仿宋_GB2312" w:hAnsi="仿宋_GB2312" w:eastAsia="仿宋_GB2312" w:cs="仿宋_GB2312"/>
          <w:sz w:val="32"/>
          <w:szCs w:val="32"/>
        </w:rPr>
        <w:t>加盖公章、支出相关合同、付款、发票、凭证等），</w:t>
      </w:r>
      <w:r>
        <w:rPr>
          <w:rFonts w:hint="eastAsia" w:ascii="仿宋_GB2312" w:hAnsi="仿宋_GB2312" w:eastAsia="仿宋_GB2312" w:cs="仿宋_GB2312"/>
          <w:sz w:val="32"/>
          <w:szCs w:val="32"/>
          <w:lang w:eastAsia="zh-CN"/>
        </w:rPr>
        <w:t>原件</w:t>
      </w:r>
      <w:r>
        <w:rPr>
          <w:rFonts w:hint="eastAsia" w:ascii="仿宋_GB2312" w:hAnsi="仿宋_GB2312" w:eastAsia="仿宋_GB2312" w:cs="仿宋_GB2312"/>
          <w:sz w:val="32"/>
          <w:szCs w:val="32"/>
        </w:rPr>
        <w:t>彩色扫描上传；</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.其他证明材料，加盖公章，彩色扫描上传。</w:t>
      </w:r>
    </w:p>
    <w:p>
      <w:pPr>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（二）打印纸质材料要求</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收到打印纸质材料短信通知后，在3个工作日内从平台下载带水印全套申报材料进行打印，一式一份有序装订（整本首页、骑缝盖章），其中银行账户信息无需装订，加盖公章，一并递交至受理窗口。</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六、办理程序</w:t>
      </w:r>
    </w:p>
    <w:p>
      <w:pPr>
        <w:pStyle w:val="8"/>
        <w:widowControl/>
        <w:numPr>
          <w:ilvl w:val="255"/>
          <w:numId w:val="0"/>
        </w:numPr>
        <w:shd w:val="clear" w:color="auto" w:fill="FFFFFF"/>
        <w:spacing w:beforeAutospacing="0" w:afterAutospacing="0" w:line="368" w:lineRule="atLeas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：通过经开区官网</w:t>
      </w:r>
      <w:r>
        <w:rPr>
          <w:rFonts w:hint="eastAsia" w:ascii="仿宋_GB2312" w:hAnsi="仿宋_GB2312" w:eastAsia="仿宋_GB2312" w:cs="仿宋_GB2312"/>
          <w:sz w:val="32"/>
          <w:szCs w:val="32"/>
        </w:rPr>
        <w:t>政策兑现模块</w:t>
      </w:r>
      <w:r>
        <w:rPr>
          <w:rFonts w:hint="eastAsia" w:ascii="仿宋_GB2312" w:hAnsi="仿宋_GB2312" w:eastAsia="仿宋_GB2312" w:cs="仿宋_GB2312"/>
          <w:color w:val="000000"/>
          <w:sz w:val="32"/>
          <w:szCs w:val="32"/>
        </w:rPr>
        <w:t>进入政策兑现综合服务平台，</w:t>
      </w:r>
      <w:r>
        <w:rPr>
          <w:rFonts w:hint="eastAsia" w:ascii="仿宋_GB2312" w:hAnsi="仿宋_GB2312" w:eastAsia="仿宋_GB2312" w:cs="仿宋_GB2312"/>
          <w:sz w:val="32"/>
          <w:szCs w:val="32"/>
        </w:rPr>
        <w:t>或使用360浏览器的极速模式登录网址：zcdx.kfqgw.beijing.gov.cn</w:t>
      </w:r>
      <w:r>
        <w:rPr>
          <w:rFonts w:hint="eastAsia" w:ascii="仿宋_GB2312" w:hAnsi="仿宋_GB2312" w:eastAsia="仿宋_GB2312" w:cs="仿宋_GB2312"/>
          <w:color w:val="000000"/>
          <w:sz w:val="32"/>
          <w:szCs w:val="32"/>
        </w:rPr>
        <w:t>，注册登录后进行项目申报。如未在规定时间内提交申请的，视为自动放弃。</w:t>
      </w:r>
    </w:p>
    <w:p>
      <w:pPr>
        <w:pStyle w:val="8"/>
        <w:widowControl/>
        <w:numPr>
          <w:ilvl w:val="255"/>
          <w:numId w:val="0"/>
        </w:numPr>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：经开区政务服务中心对申报主体提交的材料进行完整性审查，材料不齐全或不符合要求的，告知申报主体补齐补正。</w:t>
      </w:r>
    </w:p>
    <w:p>
      <w:pPr>
        <w:pStyle w:val="8"/>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rPr>
        <w:t>工委宣传文化部</w:t>
      </w:r>
      <w:r>
        <w:rPr>
          <w:rFonts w:hint="eastAsia" w:ascii="仿宋_GB2312" w:hAnsi="仿宋_GB2312" w:eastAsia="仿宋_GB2312" w:cs="仿宋_GB2312"/>
          <w:color w:val="000000"/>
          <w:kern w:val="2"/>
          <w:sz w:val="32"/>
          <w:szCs w:val="32"/>
        </w:rPr>
        <w:t>对申请材料进行实质审核。</w:t>
      </w:r>
    </w:p>
    <w:p>
      <w:pPr>
        <w:pStyle w:val="8"/>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w:t>
      </w:r>
      <w:r>
        <w:rPr>
          <w:rFonts w:hint="eastAsia" w:ascii="仿宋_GB2312" w:hAnsi="仿宋_GB2312" w:eastAsia="仿宋_GB2312" w:cs="仿宋_GB2312"/>
          <w:b/>
          <w:bCs/>
          <w:color w:val="000000"/>
          <w:kern w:val="2"/>
          <w:sz w:val="32"/>
          <w:szCs w:val="32"/>
        </w:rPr>
        <w:t>线下受理</w:t>
      </w:r>
      <w:r>
        <w:rPr>
          <w:rFonts w:hint="eastAsia" w:ascii="仿宋_GB2312" w:hAnsi="仿宋_GB2312" w:eastAsia="仿宋_GB2312" w:cs="仿宋_GB2312"/>
          <w:color w:val="000000"/>
          <w:kern w:val="2"/>
          <w:sz w:val="32"/>
          <w:szCs w:val="32"/>
        </w:rPr>
        <w:t>：申报主体在规定期间内从平台下载带水印的申报材料进行打印，并前往政务服务</w:t>
      </w:r>
      <w:r>
        <w:rPr>
          <w:rFonts w:hint="eastAsia" w:ascii="仿宋_GB2312" w:hAnsi="仿宋_GB2312" w:eastAsia="仿宋_GB2312" w:cs="仿宋_GB2312"/>
          <w:color w:val="000000"/>
          <w:kern w:val="2"/>
          <w:sz w:val="32"/>
          <w:szCs w:val="32"/>
          <w:lang w:eastAsia="zh-CN"/>
        </w:rPr>
        <w:t>中心行政</w:t>
      </w:r>
      <w:r>
        <w:rPr>
          <w:rFonts w:hint="eastAsia" w:ascii="仿宋_GB2312" w:hAnsi="仿宋_GB2312" w:eastAsia="仿宋_GB2312" w:cs="仿宋_GB2312"/>
          <w:color w:val="000000"/>
          <w:kern w:val="2"/>
          <w:sz w:val="32"/>
          <w:szCs w:val="32"/>
        </w:rPr>
        <w:t>服务厅“政策申报”窗口提交材料，工作人员核验，与网上提交材料一致的，予以收件；不符合的，当场告知补正要求。</w:t>
      </w:r>
    </w:p>
    <w:p>
      <w:pPr>
        <w:pStyle w:val="8"/>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w:t>
      </w:r>
      <w:r>
        <w:rPr>
          <w:rFonts w:hint="eastAsia" w:ascii="仿宋_GB2312" w:hAnsi="仿宋_GB2312" w:eastAsia="仿宋_GB2312" w:cs="仿宋_GB2312"/>
          <w:b/>
          <w:bCs/>
          <w:color w:val="000000"/>
          <w:kern w:val="2"/>
          <w:sz w:val="32"/>
          <w:szCs w:val="32"/>
        </w:rPr>
        <w:t>专家评审：</w:t>
      </w:r>
      <w:bookmarkStart w:id="3" w:name="_GoBack"/>
      <w:bookmarkEnd w:id="3"/>
      <w:r>
        <w:rPr>
          <w:rFonts w:hint="eastAsia" w:ascii="仿宋_GB2312" w:hAnsi="仿宋_GB2312" w:eastAsia="仿宋_GB2312" w:cs="仿宋_GB2312"/>
          <w:color w:val="000000"/>
          <w:kern w:val="2"/>
          <w:sz w:val="32"/>
          <w:szCs w:val="32"/>
        </w:rPr>
        <w:t>经开区工委宣传文化部组织专家线下对申请材料进行评审，评审后将结果上传到系统。</w:t>
      </w:r>
    </w:p>
    <w:p>
      <w:pPr>
        <w:pStyle w:val="8"/>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（六）</w:t>
      </w:r>
      <w:r>
        <w:rPr>
          <w:rFonts w:hint="eastAsia" w:ascii="仿宋_GB2312" w:hAnsi="仿宋_GB2312" w:eastAsia="仿宋_GB2312" w:cs="仿宋_GB2312"/>
          <w:b/>
          <w:bCs/>
          <w:color w:val="000000"/>
          <w:kern w:val="2"/>
          <w:sz w:val="32"/>
          <w:szCs w:val="32"/>
        </w:rPr>
        <w:t>确定扶持结果</w:t>
      </w:r>
      <w:r>
        <w:rPr>
          <w:rFonts w:hint="eastAsia" w:ascii="仿宋_GB2312" w:hAnsi="仿宋_GB2312" w:eastAsia="仿宋_GB2312" w:cs="仿宋_GB2312"/>
          <w:color w:val="000000"/>
          <w:kern w:val="2"/>
          <w:sz w:val="32"/>
          <w:szCs w:val="32"/>
        </w:rPr>
        <w:t>：经开区工委宣传文化部对审核通过的申报主体拟定兑现扶持奖励金额。</w:t>
      </w:r>
    </w:p>
    <w:p>
      <w:pPr>
        <w:pStyle w:val="8"/>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（七）</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：经开区工委宣传文化部通过政策兑现综合服务平台对审核通过的申报主体进行公示。</w:t>
      </w:r>
    </w:p>
    <w:p>
      <w:pPr>
        <w:pStyle w:val="8"/>
        <w:widowControl/>
        <w:shd w:val="clear" w:color="auto" w:fill="FFFFFF"/>
        <w:spacing w:beforeAutospacing="0" w:afterAutospacing="0" w:line="368" w:lineRule="atLeas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（八）</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：经公示无异议的，经开区财政审计局完成资金拨付工作。</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七、主责部门</w:t>
      </w:r>
    </w:p>
    <w:p>
      <w:pPr>
        <w:ind w:firstLine="640" w:firstLineChars="200"/>
        <w:rPr>
          <w:rFonts w:ascii="仿宋_GB2312" w:hAnsi="仿宋_GB2312" w:eastAsia="仿宋_GB2312" w:cs="仿宋_GB2312"/>
          <w:b/>
          <w:bCs/>
          <w:sz w:val="32"/>
          <w:szCs w:val="32"/>
        </w:rPr>
      </w:pPr>
      <w:r>
        <w:rPr>
          <w:rFonts w:hint="eastAsia" w:eastAsia="仿宋_GB2312" w:cs="仿宋_GB2312"/>
          <w:sz w:val="32"/>
          <w:szCs w:val="32"/>
        </w:rPr>
        <w:t>经开区</w:t>
      </w:r>
      <w:r>
        <w:rPr>
          <w:rFonts w:hint="eastAsia" w:ascii="仿宋_GB2312" w:hAnsi="仿宋_GB2312" w:eastAsia="仿宋_GB2312" w:cs="仿宋_GB2312"/>
          <w:color w:val="000000"/>
          <w:sz w:val="32"/>
          <w:szCs w:val="32"/>
        </w:rPr>
        <w:t>工委宣传文化部</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八、受理窗口</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北京经济技术开发区荣华中路10号亦城国际中心裙楼二层政务服务中心行政服务厅“政策申报”窗口</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九、申报时间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日至20</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十、联系人及联系方式</w:t>
      </w:r>
    </w:p>
    <w:p>
      <w:pPr>
        <w:ind w:firstLine="640" w:firstLineChars="200"/>
        <w:rPr>
          <w:rFonts w:eastAsia="仿宋_GB2312"/>
          <w:sz w:val="32"/>
          <w:szCs w:val="32"/>
        </w:rPr>
      </w:pPr>
      <w:r>
        <w:rPr>
          <w:rFonts w:hint="eastAsia" w:eastAsia="仿宋_GB2312"/>
          <w:sz w:val="32"/>
          <w:szCs w:val="32"/>
        </w:rPr>
        <w:t>政策咨询：</w:t>
      </w:r>
    </w:p>
    <w:p>
      <w:pPr>
        <w:ind w:firstLine="640" w:firstLineChars="200"/>
        <w:rPr>
          <w:rFonts w:eastAsia="仿宋_GB2312"/>
          <w:sz w:val="32"/>
          <w:szCs w:val="32"/>
        </w:rPr>
      </w:pPr>
      <w:r>
        <w:rPr>
          <w:rFonts w:hint="eastAsia" w:eastAsia="仿宋_GB2312"/>
          <w:sz w:val="32"/>
          <w:szCs w:val="32"/>
        </w:rPr>
        <w:t>经开区政务服务中心行政服务厅“政策申报”窗口，联系电话：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经开区工委宣传文化部，联系电话：010-67857362，工作日上午9:00—12:00，下午2:00—6:00。</w:t>
      </w:r>
    </w:p>
    <w:p>
      <w:pPr>
        <w:ind w:firstLine="640" w:firstLineChars="200"/>
        <w:rPr>
          <w:rFonts w:eastAsia="仿宋_GB2312"/>
          <w:sz w:val="32"/>
          <w:szCs w:val="32"/>
        </w:rPr>
      </w:pPr>
      <w:r>
        <w:rPr>
          <w:rFonts w:hint="eastAsia" w:eastAsia="仿宋_GB2312"/>
          <w:sz w:val="32"/>
          <w:szCs w:val="32"/>
        </w:rPr>
        <w:t>技术支持：</w:t>
      </w:r>
    </w:p>
    <w:p>
      <w:pPr>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工作日上午9:00—12:00，下午2:00—6:00。</w:t>
      </w:r>
    </w:p>
    <w:p>
      <w:pPr>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十一、收费标准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十二、特别说明</w:t>
      </w:r>
    </w:p>
    <w:p>
      <w:pPr>
        <w:adjustRightInd w:val="0"/>
        <w:snapToGrid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对于同一项目、同一事项，同时符合本政策规定的支持条件及经开区其他专项支持政策，或已执行开发区入区协议相关政策的，按照从高从优不重复的原则申请支持。企业获得支持资金总额不超过其区域经济贡献的</w:t>
      </w:r>
      <w:r>
        <w:rPr>
          <w:rFonts w:ascii="仿宋_GB2312" w:hAnsi="仿宋_GB2312" w:eastAsia="仿宋_GB2312"/>
          <w:sz w:val="32"/>
        </w:rPr>
        <w:t>50%。</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I1NTBlNWM2NGQ5ZjUwNzMzZmIwMTZlMGM1YmI5ODAifQ=="/>
  </w:docVars>
  <w:rsids>
    <w:rsidRoot w:val="00360EF1"/>
    <w:rsid w:val="0001192B"/>
    <w:rsid w:val="00060052"/>
    <w:rsid w:val="00062C5F"/>
    <w:rsid w:val="000F62F2"/>
    <w:rsid w:val="001145E7"/>
    <w:rsid w:val="00157AF6"/>
    <w:rsid w:val="00161422"/>
    <w:rsid w:val="00161CCE"/>
    <w:rsid w:val="001B160C"/>
    <w:rsid w:val="00203194"/>
    <w:rsid w:val="00217F8C"/>
    <w:rsid w:val="00271142"/>
    <w:rsid w:val="002838D9"/>
    <w:rsid w:val="002A0105"/>
    <w:rsid w:val="00300095"/>
    <w:rsid w:val="00360EF1"/>
    <w:rsid w:val="00395968"/>
    <w:rsid w:val="003A6F11"/>
    <w:rsid w:val="0042212A"/>
    <w:rsid w:val="00454BAC"/>
    <w:rsid w:val="004564E2"/>
    <w:rsid w:val="00457B4D"/>
    <w:rsid w:val="004870E5"/>
    <w:rsid w:val="00533C9A"/>
    <w:rsid w:val="005A03F5"/>
    <w:rsid w:val="006507D0"/>
    <w:rsid w:val="00697A2E"/>
    <w:rsid w:val="006A1513"/>
    <w:rsid w:val="006D0140"/>
    <w:rsid w:val="00710378"/>
    <w:rsid w:val="00791A81"/>
    <w:rsid w:val="00792E93"/>
    <w:rsid w:val="00793666"/>
    <w:rsid w:val="007F4242"/>
    <w:rsid w:val="007F78FF"/>
    <w:rsid w:val="00815E0F"/>
    <w:rsid w:val="0083453E"/>
    <w:rsid w:val="00844BDB"/>
    <w:rsid w:val="008F509E"/>
    <w:rsid w:val="00900A14"/>
    <w:rsid w:val="00923A77"/>
    <w:rsid w:val="00937378"/>
    <w:rsid w:val="0098077A"/>
    <w:rsid w:val="00A3406B"/>
    <w:rsid w:val="00AC6E24"/>
    <w:rsid w:val="00AD3035"/>
    <w:rsid w:val="00B74D80"/>
    <w:rsid w:val="00BC7486"/>
    <w:rsid w:val="00BE0233"/>
    <w:rsid w:val="00C05C3C"/>
    <w:rsid w:val="00C122AB"/>
    <w:rsid w:val="00C37D99"/>
    <w:rsid w:val="00C67ACC"/>
    <w:rsid w:val="00CD0341"/>
    <w:rsid w:val="00D22089"/>
    <w:rsid w:val="00D460B2"/>
    <w:rsid w:val="00D668C9"/>
    <w:rsid w:val="00D76185"/>
    <w:rsid w:val="00D85A9F"/>
    <w:rsid w:val="00E0272B"/>
    <w:rsid w:val="00E02997"/>
    <w:rsid w:val="00EA199B"/>
    <w:rsid w:val="00EE6BC6"/>
    <w:rsid w:val="00F67A74"/>
    <w:rsid w:val="00FD5BE5"/>
    <w:rsid w:val="01540D91"/>
    <w:rsid w:val="01586909"/>
    <w:rsid w:val="015C7ADB"/>
    <w:rsid w:val="01904DED"/>
    <w:rsid w:val="01CB7B50"/>
    <w:rsid w:val="01D948CF"/>
    <w:rsid w:val="020C0B78"/>
    <w:rsid w:val="0225322D"/>
    <w:rsid w:val="02297D4E"/>
    <w:rsid w:val="026102BC"/>
    <w:rsid w:val="0278373A"/>
    <w:rsid w:val="0290748C"/>
    <w:rsid w:val="03056B13"/>
    <w:rsid w:val="032269ED"/>
    <w:rsid w:val="037C128E"/>
    <w:rsid w:val="03987D96"/>
    <w:rsid w:val="03E353C9"/>
    <w:rsid w:val="03FA3EE0"/>
    <w:rsid w:val="04080ECA"/>
    <w:rsid w:val="04737D47"/>
    <w:rsid w:val="048B28B7"/>
    <w:rsid w:val="04BF0B67"/>
    <w:rsid w:val="052A15A0"/>
    <w:rsid w:val="058825B3"/>
    <w:rsid w:val="05933C0C"/>
    <w:rsid w:val="05AE227A"/>
    <w:rsid w:val="05AE34A7"/>
    <w:rsid w:val="05D14D85"/>
    <w:rsid w:val="06113255"/>
    <w:rsid w:val="0646239C"/>
    <w:rsid w:val="06B62BF6"/>
    <w:rsid w:val="06D3553D"/>
    <w:rsid w:val="06FE1C51"/>
    <w:rsid w:val="072A1178"/>
    <w:rsid w:val="074E6B15"/>
    <w:rsid w:val="078B6DBE"/>
    <w:rsid w:val="07936930"/>
    <w:rsid w:val="07B11C5A"/>
    <w:rsid w:val="0840700F"/>
    <w:rsid w:val="08925D0E"/>
    <w:rsid w:val="089620E8"/>
    <w:rsid w:val="08A45B0A"/>
    <w:rsid w:val="08A825A4"/>
    <w:rsid w:val="08B97A0D"/>
    <w:rsid w:val="08BF34BA"/>
    <w:rsid w:val="08D44C62"/>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715E03"/>
    <w:rsid w:val="0EAB08F2"/>
    <w:rsid w:val="0EAD26D4"/>
    <w:rsid w:val="0ED00FB9"/>
    <w:rsid w:val="0EE86C1D"/>
    <w:rsid w:val="0F131376"/>
    <w:rsid w:val="0F193762"/>
    <w:rsid w:val="0F221A0E"/>
    <w:rsid w:val="0F67254A"/>
    <w:rsid w:val="0F8C27FB"/>
    <w:rsid w:val="0F934289"/>
    <w:rsid w:val="0FA61C25"/>
    <w:rsid w:val="0FF757D0"/>
    <w:rsid w:val="101D1DF8"/>
    <w:rsid w:val="10452D67"/>
    <w:rsid w:val="106018C4"/>
    <w:rsid w:val="10653491"/>
    <w:rsid w:val="10706EEF"/>
    <w:rsid w:val="1092296C"/>
    <w:rsid w:val="10A01313"/>
    <w:rsid w:val="10C13CF3"/>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3712FC"/>
    <w:rsid w:val="189F5C4C"/>
    <w:rsid w:val="18DF1E8D"/>
    <w:rsid w:val="18F4326C"/>
    <w:rsid w:val="19612585"/>
    <w:rsid w:val="196452DD"/>
    <w:rsid w:val="197A58E4"/>
    <w:rsid w:val="19856C91"/>
    <w:rsid w:val="19B8431B"/>
    <w:rsid w:val="19DB76A4"/>
    <w:rsid w:val="19EC634B"/>
    <w:rsid w:val="19F32EB8"/>
    <w:rsid w:val="1A0B0313"/>
    <w:rsid w:val="1A0C4625"/>
    <w:rsid w:val="1AB25631"/>
    <w:rsid w:val="1AC627E0"/>
    <w:rsid w:val="1AF423CA"/>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E3278A5"/>
    <w:rsid w:val="1E447CA3"/>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A00DB"/>
    <w:rsid w:val="20C93EA2"/>
    <w:rsid w:val="20CC2FA6"/>
    <w:rsid w:val="20D514AE"/>
    <w:rsid w:val="20DE69DC"/>
    <w:rsid w:val="2117052E"/>
    <w:rsid w:val="21335EBD"/>
    <w:rsid w:val="21835613"/>
    <w:rsid w:val="21B6442D"/>
    <w:rsid w:val="21C06C9F"/>
    <w:rsid w:val="21D10780"/>
    <w:rsid w:val="220962A9"/>
    <w:rsid w:val="22C97BF8"/>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6873FE"/>
    <w:rsid w:val="288627FF"/>
    <w:rsid w:val="28942D3D"/>
    <w:rsid w:val="28A332E9"/>
    <w:rsid w:val="29857C2F"/>
    <w:rsid w:val="29D97CC6"/>
    <w:rsid w:val="2A1D0ADC"/>
    <w:rsid w:val="2A5F7219"/>
    <w:rsid w:val="2AB25697"/>
    <w:rsid w:val="2ACF7AB8"/>
    <w:rsid w:val="2B035A09"/>
    <w:rsid w:val="2B2024A7"/>
    <w:rsid w:val="2B833D12"/>
    <w:rsid w:val="2B9B0A58"/>
    <w:rsid w:val="2BA7027E"/>
    <w:rsid w:val="2BAB54C5"/>
    <w:rsid w:val="2BC05AF8"/>
    <w:rsid w:val="2BE54D11"/>
    <w:rsid w:val="2C522435"/>
    <w:rsid w:val="2D2A602F"/>
    <w:rsid w:val="2D6B0ED7"/>
    <w:rsid w:val="2D715293"/>
    <w:rsid w:val="2D7649D6"/>
    <w:rsid w:val="2DA064BD"/>
    <w:rsid w:val="2E236E07"/>
    <w:rsid w:val="2E2B3CCA"/>
    <w:rsid w:val="2E491136"/>
    <w:rsid w:val="2EC908A3"/>
    <w:rsid w:val="2ED73427"/>
    <w:rsid w:val="2F2F2A58"/>
    <w:rsid w:val="2F5D1137"/>
    <w:rsid w:val="2F6E0190"/>
    <w:rsid w:val="2F8D4635"/>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E69F0"/>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E95DAE"/>
    <w:rsid w:val="37184DFF"/>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DA7DE5"/>
    <w:rsid w:val="3C2F160E"/>
    <w:rsid w:val="3C5F033A"/>
    <w:rsid w:val="3CD117BD"/>
    <w:rsid w:val="3CF83180"/>
    <w:rsid w:val="3D0B1E04"/>
    <w:rsid w:val="3D23696B"/>
    <w:rsid w:val="3D94503B"/>
    <w:rsid w:val="3DAA6DAB"/>
    <w:rsid w:val="3DBA3187"/>
    <w:rsid w:val="3DD55352"/>
    <w:rsid w:val="3DD73586"/>
    <w:rsid w:val="3DE32562"/>
    <w:rsid w:val="3DFF5981"/>
    <w:rsid w:val="3E20508B"/>
    <w:rsid w:val="3ED12338"/>
    <w:rsid w:val="3EE438FE"/>
    <w:rsid w:val="3EF468CE"/>
    <w:rsid w:val="3F087986"/>
    <w:rsid w:val="3F31781F"/>
    <w:rsid w:val="3F346049"/>
    <w:rsid w:val="3F3D4664"/>
    <w:rsid w:val="3F580B78"/>
    <w:rsid w:val="3FBC30E1"/>
    <w:rsid w:val="3FD009E6"/>
    <w:rsid w:val="3FD4707F"/>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3F0C29"/>
    <w:rsid w:val="474159DD"/>
    <w:rsid w:val="48045B63"/>
    <w:rsid w:val="484F2842"/>
    <w:rsid w:val="49006A23"/>
    <w:rsid w:val="492A682B"/>
    <w:rsid w:val="49596A53"/>
    <w:rsid w:val="49AE2D68"/>
    <w:rsid w:val="49C3065B"/>
    <w:rsid w:val="49FE7196"/>
    <w:rsid w:val="4A3148B7"/>
    <w:rsid w:val="4A3C2091"/>
    <w:rsid w:val="4A41431D"/>
    <w:rsid w:val="4A8A325C"/>
    <w:rsid w:val="4AB84ECB"/>
    <w:rsid w:val="4ACF4B48"/>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E2B5D5D"/>
    <w:rsid w:val="4E8B3508"/>
    <w:rsid w:val="4ED13285"/>
    <w:rsid w:val="4F1A6236"/>
    <w:rsid w:val="4F6A651C"/>
    <w:rsid w:val="4F721548"/>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614F5C"/>
    <w:rsid w:val="528E639D"/>
    <w:rsid w:val="52DE0B2A"/>
    <w:rsid w:val="52E63BA6"/>
    <w:rsid w:val="52E7230E"/>
    <w:rsid w:val="53073C5C"/>
    <w:rsid w:val="53651256"/>
    <w:rsid w:val="53857348"/>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7A4FB8"/>
    <w:rsid w:val="5AA36BE1"/>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442416"/>
    <w:rsid w:val="5D5B7524"/>
    <w:rsid w:val="5D731173"/>
    <w:rsid w:val="5DB61076"/>
    <w:rsid w:val="5DB96EBE"/>
    <w:rsid w:val="5DFA426F"/>
    <w:rsid w:val="5E60221A"/>
    <w:rsid w:val="5E852B06"/>
    <w:rsid w:val="5EBB0773"/>
    <w:rsid w:val="5EC9424F"/>
    <w:rsid w:val="5F3F6EB7"/>
    <w:rsid w:val="5F595787"/>
    <w:rsid w:val="5F8D1C46"/>
    <w:rsid w:val="5FBD03D0"/>
    <w:rsid w:val="5FE50B69"/>
    <w:rsid w:val="601B4866"/>
    <w:rsid w:val="60303D05"/>
    <w:rsid w:val="60386110"/>
    <w:rsid w:val="606977B6"/>
    <w:rsid w:val="60B75222"/>
    <w:rsid w:val="610966E3"/>
    <w:rsid w:val="61A06ED8"/>
    <w:rsid w:val="61CC6283"/>
    <w:rsid w:val="61EB1FBB"/>
    <w:rsid w:val="620458E9"/>
    <w:rsid w:val="624422CE"/>
    <w:rsid w:val="62812C52"/>
    <w:rsid w:val="6298596F"/>
    <w:rsid w:val="634E079D"/>
    <w:rsid w:val="635553E5"/>
    <w:rsid w:val="63E9591E"/>
    <w:rsid w:val="640F4520"/>
    <w:rsid w:val="644DBCD1"/>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C1331A"/>
    <w:rsid w:val="67F973CE"/>
    <w:rsid w:val="68045731"/>
    <w:rsid w:val="6808097F"/>
    <w:rsid w:val="686076FC"/>
    <w:rsid w:val="68E479A1"/>
    <w:rsid w:val="6A7C3B1B"/>
    <w:rsid w:val="6A9153AF"/>
    <w:rsid w:val="6A9A5399"/>
    <w:rsid w:val="6B3F3AAD"/>
    <w:rsid w:val="6B891093"/>
    <w:rsid w:val="6BA55CDC"/>
    <w:rsid w:val="6BC177C6"/>
    <w:rsid w:val="6BC37DD4"/>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E2B147B"/>
    <w:rsid w:val="6E33263A"/>
    <w:rsid w:val="6E3A4154"/>
    <w:rsid w:val="6E893371"/>
    <w:rsid w:val="6E8C71B7"/>
    <w:rsid w:val="6EA731B5"/>
    <w:rsid w:val="6EB6086C"/>
    <w:rsid w:val="6EC648DD"/>
    <w:rsid w:val="6F0C63B7"/>
    <w:rsid w:val="6F345206"/>
    <w:rsid w:val="6F941165"/>
    <w:rsid w:val="6FBC2D32"/>
    <w:rsid w:val="70007B47"/>
    <w:rsid w:val="702F1D23"/>
    <w:rsid w:val="705342C1"/>
    <w:rsid w:val="708D3892"/>
    <w:rsid w:val="70B75CF8"/>
    <w:rsid w:val="70C079DE"/>
    <w:rsid w:val="712573D2"/>
    <w:rsid w:val="7155010D"/>
    <w:rsid w:val="715C4E8A"/>
    <w:rsid w:val="717F152D"/>
    <w:rsid w:val="71D07EE4"/>
    <w:rsid w:val="720F3D8F"/>
    <w:rsid w:val="72A75458"/>
    <w:rsid w:val="72D92721"/>
    <w:rsid w:val="73436223"/>
    <w:rsid w:val="735538BA"/>
    <w:rsid w:val="73AC6967"/>
    <w:rsid w:val="73AE56BA"/>
    <w:rsid w:val="740941C7"/>
    <w:rsid w:val="74A24F54"/>
    <w:rsid w:val="74DA21D9"/>
    <w:rsid w:val="75250E17"/>
    <w:rsid w:val="75576C93"/>
    <w:rsid w:val="75711074"/>
    <w:rsid w:val="75893E4D"/>
    <w:rsid w:val="75BA3B6D"/>
    <w:rsid w:val="75D12F9F"/>
    <w:rsid w:val="75E87AE4"/>
    <w:rsid w:val="76206188"/>
    <w:rsid w:val="767E6D89"/>
    <w:rsid w:val="768B48F5"/>
    <w:rsid w:val="76A32A08"/>
    <w:rsid w:val="76DD66F2"/>
    <w:rsid w:val="76EC6FC3"/>
    <w:rsid w:val="770B2702"/>
    <w:rsid w:val="7718563E"/>
    <w:rsid w:val="776A3F9A"/>
    <w:rsid w:val="77901978"/>
    <w:rsid w:val="77915027"/>
    <w:rsid w:val="779D4F4D"/>
    <w:rsid w:val="77CF1648"/>
    <w:rsid w:val="781D2C7A"/>
    <w:rsid w:val="783A56AF"/>
    <w:rsid w:val="78413BD7"/>
    <w:rsid w:val="788F717D"/>
    <w:rsid w:val="78915F29"/>
    <w:rsid w:val="78A77DB4"/>
    <w:rsid w:val="78B31BDE"/>
    <w:rsid w:val="78E70DA1"/>
    <w:rsid w:val="78F21850"/>
    <w:rsid w:val="791B03AB"/>
    <w:rsid w:val="79714C66"/>
    <w:rsid w:val="79D31F15"/>
    <w:rsid w:val="79D657CC"/>
    <w:rsid w:val="79E40A04"/>
    <w:rsid w:val="7A151811"/>
    <w:rsid w:val="7B3C52F1"/>
    <w:rsid w:val="7B9D0472"/>
    <w:rsid w:val="7BA046F3"/>
    <w:rsid w:val="7BC37346"/>
    <w:rsid w:val="7BE71A21"/>
    <w:rsid w:val="7BF87E00"/>
    <w:rsid w:val="7C064DA7"/>
    <w:rsid w:val="7C0A2379"/>
    <w:rsid w:val="7C551636"/>
    <w:rsid w:val="7C5F3CF1"/>
    <w:rsid w:val="7C697AB1"/>
    <w:rsid w:val="7CB460B3"/>
    <w:rsid w:val="7CD445C4"/>
    <w:rsid w:val="7CED17F8"/>
    <w:rsid w:val="7CF17B62"/>
    <w:rsid w:val="7D274421"/>
    <w:rsid w:val="7D3D452B"/>
    <w:rsid w:val="7D957EE1"/>
    <w:rsid w:val="7DFC4CA2"/>
    <w:rsid w:val="7E137B54"/>
    <w:rsid w:val="7E4E0E62"/>
    <w:rsid w:val="7E503B32"/>
    <w:rsid w:val="7E6B7B24"/>
    <w:rsid w:val="7E757D8F"/>
    <w:rsid w:val="7E782A8A"/>
    <w:rsid w:val="7EFFFA7B"/>
    <w:rsid w:val="7FC14E2C"/>
    <w:rsid w:val="9F6F6015"/>
    <w:rsid w:val="C7DB93C8"/>
    <w:rsid w:val="D3C9D1AB"/>
    <w:rsid w:val="DD7E7DC7"/>
    <w:rsid w:val="DEF5E07B"/>
    <w:rsid w:val="EFEEB9E2"/>
    <w:rsid w:val="F5DBA8FA"/>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5"/>
    <w:qFormat/>
    <w:uiPriority w:val="0"/>
    <w:rPr>
      <w:rFonts w:ascii="宋体"/>
      <w:sz w:val="18"/>
      <w:szCs w:val="18"/>
    </w:rPr>
  </w:style>
  <w:style w:type="paragraph" w:styleId="3">
    <w:name w:val="annotation text"/>
    <w:basedOn w:val="1"/>
    <w:qFormat/>
    <w:uiPriority w:val="0"/>
    <w:pPr>
      <w:jc w:val="left"/>
    </w:pPr>
  </w:style>
  <w:style w:type="paragraph" w:styleId="4">
    <w:name w:val="Body Text"/>
    <w:basedOn w:val="1"/>
    <w:qFormat/>
    <w:uiPriority w:val="1"/>
    <w:rPr>
      <w:rFonts w:ascii="仿宋_GB2312" w:hAnsi="仿宋_GB2312" w:eastAsia="仿宋_GB2312" w:cs="仿宋_GB2312"/>
      <w:sz w:val="32"/>
      <w:szCs w:val="32"/>
    </w:rPr>
  </w:style>
  <w:style w:type="paragraph" w:styleId="5">
    <w:name w:val="Balloon Text"/>
    <w:basedOn w:val="1"/>
    <w:link w:val="16"/>
    <w:qFormat/>
    <w:uiPriority w:val="0"/>
    <w:rPr>
      <w:sz w:val="18"/>
      <w:szCs w:val="1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character" w:styleId="11">
    <w:name w:val="Hyperlink"/>
    <w:basedOn w:val="10"/>
    <w:qFormat/>
    <w:uiPriority w:val="0"/>
    <w:rPr>
      <w:color w:val="0000FF"/>
      <w:u w:val="single"/>
    </w:rPr>
  </w:style>
  <w:style w:type="character" w:customStyle="1" w:styleId="12">
    <w:name w:val="页眉 字符"/>
    <w:basedOn w:val="10"/>
    <w:link w:val="7"/>
    <w:qFormat/>
    <w:uiPriority w:val="0"/>
    <w:rPr>
      <w:kern w:val="2"/>
      <w:sz w:val="18"/>
      <w:szCs w:val="18"/>
    </w:rPr>
  </w:style>
  <w:style w:type="character" w:customStyle="1" w:styleId="13">
    <w:name w:val="页脚 字符"/>
    <w:basedOn w:val="10"/>
    <w:link w:val="6"/>
    <w:qFormat/>
    <w:uiPriority w:val="0"/>
    <w:rPr>
      <w:kern w:val="2"/>
      <w:sz w:val="18"/>
      <w:szCs w:val="18"/>
    </w:rPr>
  </w:style>
  <w:style w:type="paragraph" w:customStyle="1" w:styleId="1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5">
    <w:name w:val="文档结构图 字符"/>
    <w:basedOn w:val="10"/>
    <w:link w:val="2"/>
    <w:qFormat/>
    <w:uiPriority w:val="0"/>
    <w:rPr>
      <w:rFonts w:ascii="宋体"/>
      <w:kern w:val="2"/>
      <w:sz w:val="18"/>
      <w:szCs w:val="18"/>
    </w:rPr>
  </w:style>
  <w:style w:type="character" w:customStyle="1" w:styleId="16">
    <w:name w:val="批注框文本 字符"/>
    <w:basedOn w:val="10"/>
    <w:link w:val="5"/>
    <w:qFormat/>
    <w:uiPriority w:val="0"/>
    <w:rPr>
      <w:kern w:val="2"/>
      <w:sz w:val="18"/>
      <w:szCs w:val="18"/>
    </w:rPr>
  </w:style>
  <w:style w:type="paragraph" w:customStyle="1" w:styleId="17">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321</Words>
  <Characters>1833</Characters>
  <Lines>15</Lines>
  <Paragraphs>4</Paragraphs>
  <TotalTime>17</TotalTime>
  <ScaleCrop>false</ScaleCrop>
  <LinksUpToDate>false</LinksUpToDate>
  <CharactersWithSpaces>2150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2019-08-12T22:54:00Z</dcterms:created>
  <dc:creator>zkk</dc:creator>
  <cp:lastModifiedBy>admin</cp:lastModifiedBy>
  <cp:lastPrinted>2020-03-22T19:03:00Z</cp:lastPrinted>
  <dcterms:modified xsi:type="dcterms:W3CDTF">2023-05-11T08:03:27Z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D0C6CB4D3DD449CF9F01DB31742842FE</vt:lpwstr>
  </property>
</Properties>
</file>