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outlineLvl w:val="1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/>
        </w:rPr>
        <w:t>北京经济技术开发区公共阅读空间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考核指标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outlineLvl w:val="1"/>
        <w:rPr>
          <w:rFonts w:ascii="宋体"/>
          <w:sz w:val="20"/>
          <w:lang w:val="en-US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60分以上为合格）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outlineLvl w:val="1"/>
        <w:rPr>
          <w:rFonts w:hint="eastAsia"/>
          <w:b/>
          <w:bCs/>
          <w:lang w:val="en-US"/>
        </w:rPr>
      </w:pPr>
    </w:p>
    <w:tbl>
      <w:tblPr>
        <w:tblStyle w:val="5"/>
        <w:tblpPr w:leftFromText="180" w:rightFromText="180" w:vertAnchor="text" w:horzAnchor="page" w:tblpX="1155" w:tblpY="72"/>
        <w:tblOverlap w:val="never"/>
        <w:tblW w:w="97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12"/>
        <w:gridCol w:w="7000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7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91" w:right="82"/>
              <w:textAlignment w:val="auto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24" w:right="119"/>
              <w:textAlignment w:val="auto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项目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2786" w:right="2778"/>
              <w:jc w:val="center"/>
              <w:textAlignment w:val="auto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内容</w:t>
            </w:r>
          </w:p>
        </w:tc>
        <w:tc>
          <w:tcPr>
            <w:tcW w:w="97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32" w:right="125"/>
              <w:textAlignment w:val="auto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开放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每周开放时间不少于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小时；按公示时间开放；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可根据开放时长进行考核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基础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标准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（1）公共阅读空间书籍数量不少于500本，其中弘扬社会主义核心价值观的书籍不少于1/10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（2）图书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年更新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占馆藏总量的 1/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以上，要求图书品种全、质量优、出版年代新。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7" w:hRule="atLeast"/>
        </w:trPr>
        <w:tc>
          <w:tcPr>
            <w:tcW w:w="871" w:type="dxa"/>
            <w:tcBorders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设施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</w:t>
            </w:r>
          </w:p>
        </w:tc>
        <w:tc>
          <w:tcPr>
            <w:tcW w:w="7000" w:type="dxa"/>
            <w:tcBorders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消防设施完好，标志清晰；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属地安保人员对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公共阅读空间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内消防器材等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设施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进行日常自查并保存相关记录及工作总结；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（3）公共阅读空间具有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突发事件及自然灾害的应急预案；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（4）设施干净整洁，运行良好。包括照明、空调、电力、网络等各类设施；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5）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图书排架整齐有序，桌、椅、书架及地面无破损，照明符合国家阅读标准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。</w:t>
            </w:r>
          </w:p>
        </w:tc>
        <w:tc>
          <w:tcPr>
            <w:tcW w:w="975" w:type="dxa"/>
            <w:tcBorders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871" w:type="dxa"/>
            <w:tcBorders>
              <w:top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12" w:type="dxa"/>
            <w:tcBorders>
              <w:top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活动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管理</w:t>
            </w:r>
          </w:p>
        </w:tc>
        <w:tc>
          <w:tcPr>
            <w:tcW w:w="7000" w:type="dxa"/>
            <w:tcBorders>
              <w:top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（1）公共阅读空间年活动场次不少于10场或年参加活动人次不少于300人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（2）达标公共阅读空间可获得5分，每增加3场或100人可增加1分。</w:t>
            </w:r>
          </w:p>
        </w:tc>
        <w:tc>
          <w:tcPr>
            <w:tcW w:w="975" w:type="dxa"/>
            <w:tcBorders>
              <w:top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（1）坚持公益性为主、盈利性为辅的原则，做好综合性服务工作，确保读者的公共阅读权益；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（2）图书排架正确率不低于 90%；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（3）建立长效志愿者管理机制，有记录有存档。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协作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协调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（1）可及时解决日常运行中的问题，应答迅速、处理及时；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（2）与经开区工委宣传文化部建立长效联络机制，专人管理，做到信息畅通；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（3）配合做好临时性的服务工作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"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推广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（1）利用新媒体开展公共阅读空间宣传工作，如：新书推荐、公共阅读空间新动态、新信息等；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（2）开展与阅读相关的活动。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统计年流通人次、年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流通量等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读者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满意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（1）读者满意度调查：在公共阅读空间内及周边区域随机发放调查表，取得有效样本；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（2）本年度读者投诉情况：经开区工委宣传文化部收到的投诉电话、邮件及微信公众号平台投诉留言等。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监管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日常不定期抽查抽检。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912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385" w:leftChars="50" w:hanging="280" w:hangingChars="1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加分项</w:t>
            </w:r>
          </w:p>
        </w:tc>
        <w:tc>
          <w:tcPr>
            <w:tcW w:w="700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（1）公共阅读空间管理运营或特色工作得到业务主管部门表彰或奖励；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（2）媒体关注度高（包括报纸、电台、电视台、网络等），且有市级以上媒体报道；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106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（3）开展阅读推广活动质量高、影响力大、可持续性强。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line="560" w:lineRule="exact"/>
              <w:ind w:right="125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</w:tbl>
    <w:p>
      <w:pPr>
        <w:bidi w:val="0"/>
        <w:jc w:val="both"/>
        <w:rPr>
          <w:lang w:val="en-US" w:eastAsia="zh-CN"/>
        </w:rPr>
      </w:pPr>
    </w:p>
    <w:sectPr>
      <w:footerReference r:id="rId3" w:type="default"/>
      <w:pgSz w:w="11906" w:h="16838"/>
      <w:pgMar w:top="1599" w:right="1162" w:bottom="1582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19"/>
        <w:tab w:val="clear" w:pos="4153"/>
      </w:tabs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zM1ODk3ZmViYTUwNDI5ZmFhMjhiYWEyN2UzZTIifQ=="/>
  </w:docVars>
  <w:rsids>
    <w:rsidRoot w:val="000364EC"/>
    <w:rsid w:val="000364EC"/>
    <w:rsid w:val="001214AF"/>
    <w:rsid w:val="002207C5"/>
    <w:rsid w:val="0029517A"/>
    <w:rsid w:val="003C5068"/>
    <w:rsid w:val="009D7750"/>
    <w:rsid w:val="00B861C6"/>
    <w:rsid w:val="00BF4E54"/>
    <w:rsid w:val="00C22E78"/>
    <w:rsid w:val="00C80E3C"/>
    <w:rsid w:val="0DB96D4F"/>
    <w:rsid w:val="197B4F88"/>
    <w:rsid w:val="2C5C1EEC"/>
    <w:rsid w:val="2E901D16"/>
    <w:rsid w:val="41FD5EFD"/>
    <w:rsid w:val="452719FB"/>
    <w:rsid w:val="549A2E4B"/>
    <w:rsid w:val="6781659D"/>
    <w:rsid w:val="68B56636"/>
    <w:rsid w:val="712A5A7A"/>
    <w:rsid w:val="7ED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831</Characters>
  <Lines>6</Lines>
  <Paragraphs>1</Paragraphs>
  <TotalTime>2</TotalTime>
  <ScaleCrop>false</ScaleCrop>
  <LinksUpToDate>false</LinksUpToDate>
  <CharactersWithSpaces>975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2021-11-19T07:52:00Z</dcterms:created>
  <dc:creator>29596</dc:creator>
  <cp:lastModifiedBy>THY</cp:lastModifiedBy>
  <dcterms:modified xsi:type="dcterms:W3CDTF">2023-03-30T11:00:55Z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39F7EFB284F044778FE95DBE11BDD97C</vt:lpwstr>
  </property>
</Properties>
</file>