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初、中级卫生专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业技术资格考试报名条件</w:t>
      </w:r>
    </w:p>
    <w:p>
      <w:pPr>
        <w:widowControl/>
        <w:snapToGrid w:val="0"/>
        <w:spacing w:line="56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二、身心健康，心理素质良好，能全面履行岗位职责。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（一）初级职称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药（技）士：具备相应专业中专、大专学历，可参加药（技）士资格考试。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（二）中级职称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、经全科专业住院医师规范化培训合格并到基层医疗卫生机构工作的，可直接参加全科医学专业中级职称考试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有下列情形之一的，不得申请参加卫生专业技术资格考试：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（一）医疗事故责任者未满3年；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（二）医疗差错责任者未满1年；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受到行政处分者未满2年；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（四）伪造学历或考试期间有违纪行为未满2年；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（五）市卫生行政部门规定的其他情形。</w:t>
      </w:r>
    </w:p>
    <w:p>
      <w:pPr>
        <w:widowControl/>
        <w:snapToGrid w:val="0"/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3"/>
    <w:rsid w:val="00046121"/>
    <w:rsid w:val="004209C3"/>
    <w:rsid w:val="3B4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2023-01-02T09:26:00Z</dcterms:created>
  <dc:creator>Microsoft Office User</dc:creator>
  <cp:lastModifiedBy>赵鑫</cp:lastModifiedBy>
  <dcterms:modified xsi:type="dcterms:W3CDTF">2023-01-03T01:49:36Z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