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  <w:r>
        <w:rPr>
          <w:rFonts w:hint="eastAsia" w:ascii="黑体" w:hAnsi="黑体" w:eastAsia="黑体"/>
          <w:sz w:val="32"/>
        </w:rPr>
        <w:t>：</w:t>
      </w:r>
    </w:p>
    <w:p>
      <w:pPr>
        <w:spacing w:line="560" w:lineRule="exact"/>
        <w:rPr>
          <w:rFonts w:ascii="黑体" w:hAnsi="黑体" w:eastAsia="黑体"/>
          <w:sz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《</w:t>
      </w:r>
      <w:r>
        <w:rPr>
          <w:rFonts w:hint="eastAsia" w:ascii="方正小标宋简体" w:hAnsi="仿宋" w:eastAsia="方正小标宋简体" w:cs="微软雅黑"/>
          <w:sz w:val="44"/>
          <w:szCs w:val="24"/>
        </w:rPr>
        <w:t>北京</w:t>
      </w:r>
      <w:r>
        <w:rPr>
          <w:rFonts w:hint="eastAsia" w:ascii="方正小标宋简体" w:hAnsi="仿宋" w:eastAsia="方正小标宋简体" w:cs="微软雅黑"/>
          <w:sz w:val="44"/>
          <w:szCs w:val="24"/>
          <w:lang w:eastAsia="zh-CN"/>
        </w:rPr>
        <w:t>经济技术开发区</w:t>
      </w:r>
      <w:r>
        <w:rPr>
          <w:rFonts w:hint="eastAsia" w:ascii="方正小标宋简体" w:hAnsi="仿宋" w:eastAsia="方正小标宋简体" w:cs="微软雅黑"/>
          <w:sz w:val="44"/>
          <w:szCs w:val="24"/>
        </w:rPr>
        <w:t>户外广告设施设置规划</w:t>
      </w:r>
      <w:r>
        <w:rPr>
          <w:rFonts w:hint="eastAsia" w:ascii="方正小标宋简体" w:hAnsi="黑体" w:eastAsia="方正小标宋简体"/>
          <w:sz w:val="44"/>
          <w:szCs w:val="44"/>
        </w:rPr>
        <w:t>（征求意见稿）》的起草说明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一、编制背景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《北京市户外广告设施、牌匾标识和标语宣传品设置管理条例》自2021年9月1日起正式施行，进一步明确了“户外广告设施依规划管理”的工作原则，规定 “尚未制定街区户外广告设施设置规划的，不得设置户外广告设施”</w:t>
      </w:r>
      <w:r>
        <w:rPr>
          <w:rFonts w:hint="eastAsia" w:ascii="仿宋_GB2312" w:eastAsia="仿宋_GB2312"/>
          <w:sz w:val="32"/>
          <w:lang w:eastAsia="zh-CN"/>
        </w:rPr>
        <w:t>、</w:t>
      </w:r>
      <w:r>
        <w:rPr>
          <w:rFonts w:hint="eastAsia" w:ascii="仿宋_GB2312" w:eastAsia="仿宋_GB2312"/>
          <w:sz w:val="32"/>
        </w:rPr>
        <w:t>“尚未编制规划的建成区，应当在法规实施后三年内完成街区户外广告设施设置规划编制工作”等管理要求。为做好条例的贯彻落实，进一步加强</w:t>
      </w:r>
      <w:r>
        <w:rPr>
          <w:rFonts w:hint="eastAsia" w:ascii="仿宋_GB2312" w:eastAsia="仿宋_GB2312"/>
          <w:sz w:val="32"/>
          <w:lang w:val="en-US" w:eastAsia="zh-CN"/>
        </w:rPr>
        <w:t>北京经济技术开发区（以下简称“经开区”）</w:t>
      </w:r>
      <w:r>
        <w:rPr>
          <w:rFonts w:hint="eastAsia" w:ascii="仿宋_GB2312" w:eastAsia="仿宋_GB2312"/>
          <w:sz w:val="32"/>
        </w:rPr>
        <w:t>户外广告设施设置管理水平，提升城市公共空间品质，经</w:t>
      </w:r>
      <w:r>
        <w:rPr>
          <w:rFonts w:hint="eastAsia" w:ascii="仿宋_GB2312" w:eastAsia="仿宋_GB2312"/>
          <w:sz w:val="32"/>
          <w:lang w:eastAsia="zh-CN"/>
        </w:rPr>
        <w:t>管委会</w:t>
      </w:r>
      <w:r>
        <w:rPr>
          <w:rFonts w:hint="eastAsia" w:ascii="仿宋_GB2312" w:eastAsia="仿宋_GB2312"/>
          <w:sz w:val="32"/>
        </w:rPr>
        <w:t>同意，于202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底</w:t>
      </w:r>
      <w:r>
        <w:rPr>
          <w:rFonts w:hint="eastAsia" w:ascii="仿宋_GB2312" w:eastAsia="仿宋_GB2312"/>
          <w:sz w:val="32"/>
        </w:rPr>
        <w:t>启动</w:t>
      </w:r>
      <w:r>
        <w:rPr>
          <w:rFonts w:hint="eastAsia" w:ascii="仿宋_GB2312" w:eastAsia="仿宋_GB2312"/>
          <w:sz w:val="32"/>
          <w:lang w:eastAsia="zh-CN"/>
        </w:rPr>
        <w:t>经开区</w:t>
      </w:r>
      <w:r>
        <w:rPr>
          <w:rFonts w:hint="eastAsia" w:ascii="仿宋_GB2312" w:eastAsia="仿宋_GB2312"/>
          <w:sz w:val="32"/>
        </w:rPr>
        <w:t>街区户外广告设施设置规划编制项目</w:t>
      </w:r>
      <w:r>
        <w:rPr>
          <w:rFonts w:hint="eastAsia" w:ascii="仿宋_GB2312" w:eastAsia="仿宋_GB2312"/>
          <w:sz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二、编制情况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依据北京市户外广告设施设置专项规划，以及城市设计、色彩、城市更新等城市导则和户外广告相关规范标准，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经开区城市运行局通过政采公开招标，确定北京清华同衡规划设计研究院为中标单位，合作开展《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经开区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户外广告牌匾标识详细规划编制》项目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，目前已</w:t>
      </w:r>
      <w:r>
        <w:rPr>
          <w:rFonts w:hint="eastAsia" w:ascii="仿宋_GB2312" w:eastAsia="仿宋_GB2312"/>
          <w:sz w:val="32"/>
        </w:rPr>
        <w:t>完成了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经开区60</w:t>
      </w:r>
      <w:r>
        <w:rPr>
          <w:rFonts w:hint="eastAsia" w:ascii="仿宋" w:hAnsi="仿宋" w:eastAsia="仿宋" w:cs="仿宋_GB2312"/>
          <w:sz w:val="32"/>
          <w:szCs w:val="40"/>
        </w:rPr>
        <w:t>平方公里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规划范围(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共21个街区）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的</w:t>
      </w:r>
      <w:r>
        <w:rPr>
          <w:rFonts w:hint="eastAsia" w:ascii="仿宋" w:hAnsi="仿宋" w:eastAsia="仿宋" w:cs="仿宋_GB2312"/>
          <w:sz w:val="32"/>
          <w:szCs w:val="40"/>
        </w:rPr>
        <w:t>户外广告设施设置规划</w:t>
      </w:r>
      <w:r>
        <w:rPr>
          <w:rFonts w:hint="eastAsia" w:ascii="仿宋_GB2312" w:eastAsia="仿宋_GB2312"/>
          <w:sz w:val="32"/>
        </w:rPr>
        <w:t>初稿的编制工作。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三、规划的主要内容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按照</w:t>
      </w:r>
      <w:r>
        <w:rPr>
          <w:rFonts w:hint="eastAsia" w:ascii="仿宋_GB2312" w:eastAsia="仿宋_GB2312"/>
          <w:sz w:val="32"/>
          <w:lang w:eastAsia="zh-CN"/>
        </w:rPr>
        <w:t>北京市</w:t>
      </w:r>
      <w:r>
        <w:rPr>
          <w:rFonts w:hint="eastAsia" w:ascii="仿宋_GB2312" w:eastAsia="仿宋_GB2312"/>
          <w:sz w:val="32"/>
        </w:rPr>
        <w:t>城市规划及广告专项规划相关规划目标及总体思想为导向作为</w:t>
      </w:r>
      <w:r>
        <w:rPr>
          <w:rFonts w:hint="eastAsia" w:ascii="仿宋_GB2312" w:eastAsia="仿宋_GB2312"/>
          <w:sz w:val="32"/>
          <w:lang w:eastAsia="zh-CN"/>
        </w:rPr>
        <w:t>经开区规划编制的</w:t>
      </w:r>
      <w:r>
        <w:rPr>
          <w:rFonts w:hint="eastAsia" w:ascii="仿宋_GB2312" w:eastAsia="仿宋_GB2312"/>
          <w:sz w:val="32"/>
        </w:rPr>
        <w:t>指导思想。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规划内容主要分为四个部分。第一部分总则，首先明确指导思想、规划范围、规划对象等内容，总结规划依据分析上位规划。第二部分是规划设置依据，提出户外广告禁设情形，根据上位规划要求进一步细化落实控制指标，落实街区区域划分，明确地块区域等相关系数。根据区域特征确定户外广告准入类型。最后根据街区风貌特点，提出突显不同界面风貌特色的户外广告设施控制原则，并落实品质控制要求。第三部分是规划实施，提出了实施原则、实施要求以及保障措施相关内容。第四部分明确广告设施术语定义以及户外广告相关品质指标详解，同时提出公益性户外广告、临时性户外广告以及其他各类型户外广告设施的控制要求。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40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ascii="仿宋" w:hAnsi="仿宋" w:eastAsia="仿宋" w:cs="仿宋_GB2312"/>
          <w:sz w:val="32"/>
          <w:szCs w:val="40"/>
        </w:rPr>
      </w:pPr>
    </w:p>
    <w:sectPr>
      <w:footerReference r:id="rId3" w:type="default"/>
      <w:pgSz w:w="11906" w:h="16838"/>
      <w:pgMar w:top="147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OTg4YzdiZTYzMGQ4NWY5MTZkMDRkZGVjNDBkMjAifQ=="/>
  </w:docVars>
  <w:rsids>
    <w:rsidRoot w:val="000B1E37"/>
    <w:rsid w:val="000246C1"/>
    <w:rsid w:val="00063FD8"/>
    <w:rsid w:val="000B1E37"/>
    <w:rsid w:val="00136256"/>
    <w:rsid w:val="001D0F12"/>
    <w:rsid w:val="00217602"/>
    <w:rsid w:val="00236984"/>
    <w:rsid w:val="0031338E"/>
    <w:rsid w:val="004D36D8"/>
    <w:rsid w:val="00595FE3"/>
    <w:rsid w:val="005F6787"/>
    <w:rsid w:val="006737D6"/>
    <w:rsid w:val="006F6D09"/>
    <w:rsid w:val="008C0B1A"/>
    <w:rsid w:val="0090679B"/>
    <w:rsid w:val="00AE27DF"/>
    <w:rsid w:val="00AE6015"/>
    <w:rsid w:val="00B93BA7"/>
    <w:rsid w:val="00CF563A"/>
    <w:rsid w:val="00D01B8A"/>
    <w:rsid w:val="00D128FF"/>
    <w:rsid w:val="00D91BC3"/>
    <w:rsid w:val="00EB61DF"/>
    <w:rsid w:val="00F5199E"/>
    <w:rsid w:val="00F628D4"/>
    <w:rsid w:val="04844854"/>
    <w:rsid w:val="05340028"/>
    <w:rsid w:val="09A3577C"/>
    <w:rsid w:val="1A1219C3"/>
    <w:rsid w:val="20E406FC"/>
    <w:rsid w:val="2B5F6FEA"/>
    <w:rsid w:val="3287538B"/>
    <w:rsid w:val="396C2BB5"/>
    <w:rsid w:val="48154753"/>
    <w:rsid w:val="4904108C"/>
    <w:rsid w:val="524424F9"/>
    <w:rsid w:val="58F76517"/>
    <w:rsid w:val="5BC93ED1"/>
    <w:rsid w:val="5E124E3C"/>
    <w:rsid w:val="66F62FC1"/>
    <w:rsid w:val="6ADE12E5"/>
    <w:rsid w:val="6C770CFE"/>
    <w:rsid w:val="725C1931"/>
    <w:rsid w:val="750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866</Words>
  <Characters>897</Characters>
  <Lines>4</Lines>
  <Paragraphs>1</Paragraphs>
  <TotalTime>1</TotalTime>
  <ScaleCrop>false</ScaleCrop>
  <LinksUpToDate>false</LinksUpToDate>
  <CharactersWithSpaces>899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2023-02-28T09:57:00Z</dcterms:created>
  <dc:creator>lenovo</dc:creator>
  <cp:lastModifiedBy>玉凯NOW</cp:lastModifiedBy>
  <dcterms:modified xsi:type="dcterms:W3CDTF">2023-10-30T08:46:17Z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282799F04ED243119561DA6077AE153A_13</vt:lpwstr>
  </property>
</Properties>
</file>